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FF0273" w14:textId="4792CDAC" w:rsidR="00237996" w:rsidRPr="006A4B60" w:rsidRDefault="00793EB6" w:rsidP="00793EB6">
      <w:pPr>
        <w:pStyle w:val="CS-IBMTOCforTOCTitleonly"/>
        <w:rPr>
          <w:rFonts w:ascii="Century Gothic" w:hAnsi="Century Gothic"/>
        </w:rPr>
      </w:pPr>
      <w:r>
        <w:rPr>
          <w:rFonts w:ascii="Century Gothic" w:hAnsi="Century Gothic"/>
        </w:rPr>
        <w:t xml:space="preserve">Section 4 </w:t>
      </w:r>
      <w:r w:rsidR="00237996" w:rsidRPr="006A4B60">
        <w:rPr>
          <w:rFonts w:ascii="Century Gothic" w:hAnsi="Century Gothic"/>
        </w:rPr>
        <w:t>Table of Contents</w:t>
      </w:r>
    </w:p>
    <w:p w14:paraId="65492D7A" w14:textId="77777777" w:rsidR="009755E1" w:rsidRPr="006A4B60" w:rsidRDefault="009755E1" w:rsidP="001C38CA">
      <w:pPr>
        <w:pStyle w:val="CS-IBMTOCforTOCTitleonly"/>
        <w:spacing w:line="276" w:lineRule="auto"/>
        <w:jc w:val="left"/>
        <w:rPr>
          <w:rFonts w:ascii="Century Gothic" w:hAnsi="Century Gothic"/>
        </w:rPr>
      </w:pPr>
    </w:p>
    <w:p w14:paraId="71C61827" w14:textId="7AC26773" w:rsidR="00442B89" w:rsidRDefault="00D41F62">
      <w:pPr>
        <w:pStyle w:val="TOC1"/>
        <w:tabs>
          <w:tab w:val="left" w:pos="440"/>
          <w:tab w:val="right" w:leader="dot" w:pos="9350"/>
        </w:tabs>
        <w:rPr>
          <w:rStyle w:val="Hyperlink"/>
          <w:noProof/>
          <w:color w:val="0070C0"/>
        </w:rPr>
      </w:pPr>
      <w:r>
        <w:rPr>
          <w:rFonts w:ascii="Arial Bold" w:hAnsi="Arial Bold"/>
          <w:caps/>
        </w:rPr>
        <w:fldChar w:fldCharType="begin"/>
      </w:r>
      <w:r>
        <w:rPr>
          <w:rFonts w:ascii="Arial Bold" w:hAnsi="Arial Bold"/>
        </w:rPr>
        <w:instrText xml:space="preserve"> TOC \o "1-3" \h \z \t "CS - IBM Heading 1,1,CS - IBM Heading 2,2,CS - IBM Heading 3,3" </w:instrText>
      </w:r>
      <w:r>
        <w:rPr>
          <w:rFonts w:ascii="Arial Bold" w:hAnsi="Arial Bold"/>
          <w:caps/>
        </w:rPr>
        <w:fldChar w:fldCharType="separate"/>
      </w:r>
      <w:hyperlink w:anchor="_Toc213070143" w:history="1">
        <w:r w:rsidR="00442B89" w:rsidRPr="00EC111E">
          <w:rPr>
            <w:rStyle w:val="Hyperlink"/>
            <w:noProof/>
            <w:color w:val="0070C0"/>
          </w:rPr>
          <w:t>4</w:t>
        </w:r>
        <w:r w:rsidR="00442B89" w:rsidRPr="00EC111E">
          <w:rPr>
            <w:rFonts w:eastAsiaTheme="minorEastAsia" w:cstheme="minorBidi"/>
            <w:b w:val="0"/>
            <w:bCs w:val="0"/>
            <w:i w:val="0"/>
            <w:iCs w:val="0"/>
            <w:noProof/>
            <w:color w:val="0070C0"/>
            <w:kern w:val="2"/>
            <w:lang w:eastAsia="ko-KR"/>
            <w14:ligatures w14:val="standardContextual"/>
          </w:rPr>
          <w:tab/>
        </w:r>
        <w:r w:rsidR="00442B89" w:rsidRPr="00EC111E">
          <w:rPr>
            <w:rStyle w:val="Hyperlink"/>
            <w:noProof/>
            <w:color w:val="0070C0"/>
          </w:rPr>
          <w:t>Understanding and Approach to QA</w:t>
        </w:r>
        <w:r w:rsidR="00442B89" w:rsidRPr="00EC111E">
          <w:rPr>
            <w:noProof/>
            <w:webHidden/>
            <w:color w:val="0070C0"/>
          </w:rPr>
          <w:tab/>
        </w:r>
        <w:r w:rsidR="00442B89" w:rsidRPr="00EC111E">
          <w:rPr>
            <w:noProof/>
            <w:webHidden/>
            <w:color w:val="0070C0"/>
          </w:rPr>
          <w:fldChar w:fldCharType="begin"/>
        </w:r>
        <w:r w:rsidR="00442B89" w:rsidRPr="00EC111E">
          <w:rPr>
            <w:noProof/>
            <w:webHidden/>
            <w:color w:val="0070C0"/>
          </w:rPr>
          <w:instrText xml:space="preserve"> PAGEREF _Toc213070143 \h </w:instrText>
        </w:r>
        <w:r w:rsidR="00442B89" w:rsidRPr="00EC111E">
          <w:rPr>
            <w:noProof/>
            <w:webHidden/>
            <w:color w:val="0070C0"/>
          </w:rPr>
        </w:r>
        <w:r w:rsidR="00442B89" w:rsidRPr="00EC111E">
          <w:rPr>
            <w:noProof/>
            <w:webHidden/>
            <w:color w:val="0070C0"/>
          </w:rPr>
          <w:fldChar w:fldCharType="separate"/>
        </w:r>
        <w:r w:rsidR="00442B89" w:rsidRPr="00EC111E">
          <w:rPr>
            <w:noProof/>
            <w:webHidden/>
            <w:color w:val="0070C0"/>
          </w:rPr>
          <w:t>1</w:t>
        </w:r>
        <w:r w:rsidR="00442B89" w:rsidRPr="00EC111E">
          <w:rPr>
            <w:noProof/>
            <w:webHidden/>
            <w:color w:val="0070C0"/>
          </w:rPr>
          <w:fldChar w:fldCharType="end"/>
        </w:r>
      </w:hyperlink>
    </w:p>
    <w:p w14:paraId="57999384" w14:textId="32338D3A" w:rsidR="00442B89" w:rsidRDefault="00442B89" w:rsidP="000C57A9">
      <w:pPr>
        <w:pStyle w:val="TOC2"/>
        <w:tabs>
          <w:tab w:val="left" w:pos="880"/>
          <w:tab w:val="right" w:leader="dot" w:pos="9350"/>
        </w:tabs>
        <w:spacing w:line="360" w:lineRule="auto"/>
        <w:rPr>
          <w:rFonts w:eastAsiaTheme="minorEastAsia" w:cstheme="minorBidi"/>
          <w:b w:val="0"/>
          <w:bCs w:val="0"/>
          <w:noProof/>
          <w:color w:val="auto"/>
          <w:kern w:val="2"/>
          <w:sz w:val="24"/>
          <w:szCs w:val="24"/>
          <w:lang w:eastAsia="ko-KR"/>
          <w14:ligatures w14:val="standardContextual"/>
        </w:rPr>
      </w:pPr>
      <w:hyperlink w:anchor="_Toc213070144" w:history="1">
        <w:r w:rsidRPr="00201ED0">
          <w:rPr>
            <w:rStyle w:val="Hyperlink"/>
            <w:noProof/>
          </w:rPr>
          <w:t>4.1</w:t>
        </w:r>
        <w:r>
          <w:rPr>
            <w:rFonts w:eastAsiaTheme="minorEastAsia" w:cstheme="minorBidi"/>
            <w:b w:val="0"/>
            <w:bCs w:val="0"/>
            <w:noProof/>
            <w:color w:val="auto"/>
            <w:kern w:val="2"/>
            <w:sz w:val="24"/>
            <w:szCs w:val="24"/>
            <w:lang w:eastAsia="ko-KR"/>
            <w14:ligatures w14:val="standardContextual"/>
          </w:rPr>
          <w:tab/>
        </w:r>
        <w:r w:rsidRPr="00201ED0">
          <w:rPr>
            <w:rStyle w:val="Hyperlink"/>
            <w:noProof/>
          </w:rPr>
          <w:t>Quality Assurance Staffing</w:t>
        </w:r>
        <w:r>
          <w:rPr>
            <w:noProof/>
            <w:webHidden/>
          </w:rPr>
          <w:tab/>
        </w:r>
        <w:r>
          <w:rPr>
            <w:noProof/>
            <w:webHidden/>
          </w:rPr>
          <w:fldChar w:fldCharType="begin"/>
        </w:r>
        <w:r>
          <w:rPr>
            <w:noProof/>
            <w:webHidden/>
          </w:rPr>
          <w:instrText xml:space="preserve"> PAGEREF _Toc213070144 \h </w:instrText>
        </w:r>
        <w:r>
          <w:rPr>
            <w:noProof/>
            <w:webHidden/>
          </w:rPr>
        </w:r>
        <w:r>
          <w:rPr>
            <w:noProof/>
            <w:webHidden/>
          </w:rPr>
          <w:fldChar w:fldCharType="separate"/>
        </w:r>
        <w:r>
          <w:rPr>
            <w:noProof/>
            <w:webHidden/>
          </w:rPr>
          <w:t>1</w:t>
        </w:r>
        <w:r>
          <w:rPr>
            <w:noProof/>
            <w:webHidden/>
          </w:rPr>
          <w:fldChar w:fldCharType="end"/>
        </w:r>
      </w:hyperlink>
    </w:p>
    <w:p w14:paraId="39BD18D4" w14:textId="4F5F86D8" w:rsidR="00442B89" w:rsidRDefault="00442B89" w:rsidP="000C57A9">
      <w:pPr>
        <w:pStyle w:val="TOC3"/>
        <w:tabs>
          <w:tab w:val="left" w:pos="1320"/>
          <w:tab w:val="right" w:leader="dot" w:pos="9350"/>
        </w:tabs>
        <w:spacing w:line="360" w:lineRule="auto"/>
        <w:ind w:left="720"/>
        <w:rPr>
          <w:rFonts w:eastAsiaTheme="minorEastAsia" w:cstheme="minorBidi"/>
          <w:noProof/>
          <w:color w:val="auto"/>
          <w:kern w:val="2"/>
          <w:sz w:val="24"/>
          <w:szCs w:val="24"/>
          <w:lang w:eastAsia="ko-KR"/>
          <w14:ligatures w14:val="standardContextual"/>
        </w:rPr>
      </w:pPr>
      <w:hyperlink w:anchor="_Toc213070145" w:history="1">
        <w:r w:rsidRPr="00201ED0">
          <w:rPr>
            <w:rStyle w:val="Hyperlink"/>
            <w:noProof/>
          </w:rPr>
          <w:t>4.1.1</w:t>
        </w:r>
        <w:r>
          <w:rPr>
            <w:rFonts w:eastAsiaTheme="minorEastAsia" w:cstheme="minorBidi"/>
            <w:noProof/>
            <w:color w:val="auto"/>
            <w:kern w:val="2"/>
            <w:sz w:val="24"/>
            <w:szCs w:val="24"/>
            <w:lang w:eastAsia="ko-KR"/>
            <w14:ligatures w14:val="standardContextual"/>
          </w:rPr>
          <w:tab/>
        </w:r>
        <w:r w:rsidRPr="00201ED0">
          <w:rPr>
            <w:rStyle w:val="Hyperlink"/>
            <w:noProof/>
          </w:rPr>
          <w:t>UA1 – Staffing Approach Prepares QA Team to Adjust to Future Changes</w:t>
        </w:r>
        <w:r>
          <w:rPr>
            <w:noProof/>
            <w:webHidden/>
          </w:rPr>
          <w:tab/>
        </w:r>
        <w:r>
          <w:rPr>
            <w:noProof/>
            <w:webHidden/>
          </w:rPr>
          <w:fldChar w:fldCharType="begin"/>
        </w:r>
        <w:r>
          <w:rPr>
            <w:noProof/>
            <w:webHidden/>
          </w:rPr>
          <w:instrText xml:space="preserve"> PAGEREF _Toc213070145 \h </w:instrText>
        </w:r>
        <w:r>
          <w:rPr>
            <w:noProof/>
            <w:webHidden/>
          </w:rPr>
        </w:r>
        <w:r>
          <w:rPr>
            <w:noProof/>
            <w:webHidden/>
          </w:rPr>
          <w:fldChar w:fldCharType="separate"/>
        </w:r>
        <w:r>
          <w:rPr>
            <w:noProof/>
            <w:webHidden/>
          </w:rPr>
          <w:t>1</w:t>
        </w:r>
        <w:r>
          <w:rPr>
            <w:noProof/>
            <w:webHidden/>
          </w:rPr>
          <w:fldChar w:fldCharType="end"/>
        </w:r>
      </w:hyperlink>
    </w:p>
    <w:p w14:paraId="266E49BE" w14:textId="03FAA868" w:rsidR="00442B89" w:rsidRDefault="00442B89" w:rsidP="000C57A9">
      <w:pPr>
        <w:pStyle w:val="TOC3"/>
        <w:tabs>
          <w:tab w:val="left" w:pos="1320"/>
          <w:tab w:val="right" w:leader="dot" w:pos="9350"/>
        </w:tabs>
        <w:spacing w:line="360" w:lineRule="auto"/>
        <w:ind w:left="720"/>
        <w:rPr>
          <w:rStyle w:val="Hyperlink"/>
          <w:noProof/>
        </w:rPr>
      </w:pPr>
      <w:hyperlink w:anchor="_Toc213070146" w:history="1">
        <w:r w:rsidRPr="00201ED0">
          <w:rPr>
            <w:rStyle w:val="Hyperlink"/>
            <w:noProof/>
          </w:rPr>
          <w:t>4.1.2</w:t>
        </w:r>
        <w:r>
          <w:rPr>
            <w:rFonts w:eastAsiaTheme="minorEastAsia" w:cstheme="minorBidi"/>
            <w:noProof/>
            <w:color w:val="auto"/>
            <w:kern w:val="2"/>
            <w:sz w:val="24"/>
            <w:szCs w:val="24"/>
            <w:lang w:eastAsia="ko-KR"/>
            <w14:ligatures w14:val="standardContextual"/>
          </w:rPr>
          <w:tab/>
        </w:r>
        <w:r w:rsidRPr="00201ED0">
          <w:rPr>
            <w:rStyle w:val="Hyperlink"/>
            <w:noProof/>
          </w:rPr>
          <w:t>UA2 – Staffing Approach Provides Capability and Flexibility for New Changes</w:t>
        </w:r>
        <w:r>
          <w:rPr>
            <w:noProof/>
            <w:webHidden/>
          </w:rPr>
          <w:tab/>
        </w:r>
        <w:r>
          <w:rPr>
            <w:noProof/>
            <w:webHidden/>
          </w:rPr>
          <w:fldChar w:fldCharType="begin"/>
        </w:r>
        <w:r>
          <w:rPr>
            <w:noProof/>
            <w:webHidden/>
          </w:rPr>
          <w:instrText xml:space="preserve"> PAGEREF _Toc213070146 \h </w:instrText>
        </w:r>
        <w:r>
          <w:rPr>
            <w:noProof/>
            <w:webHidden/>
          </w:rPr>
        </w:r>
        <w:r>
          <w:rPr>
            <w:noProof/>
            <w:webHidden/>
          </w:rPr>
          <w:fldChar w:fldCharType="separate"/>
        </w:r>
        <w:r>
          <w:rPr>
            <w:noProof/>
            <w:webHidden/>
          </w:rPr>
          <w:t>10</w:t>
        </w:r>
        <w:r>
          <w:rPr>
            <w:noProof/>
            <w:webHidden/>
          </w:rPr>
          <w:fldChar w:fldCharType="end"/>
        </w:r>
      </w:hyperlink>
    </w:p>
    <w:p w14:paraId="700FD7DC" w14:textId="2F42490B" w:rsidR="00442B89" w:rsidRDefault="00442B89" w:rsidP="000C57A9">
      <w:pPr>
        <w:pStyle w:val="TOC2"/>
        <w:tabs>
          <w:tab w:val="left" w:pos="880"/>
          <w:tab w:val="right" w:leader="dot" w:pos="9350"/>
        </w:tabs>
        <w:spacing w:line="360" w:lineRule="auto"/>
        <w:rPr>
          <w:rFonts w:eastAsiaTheme="minorEastAsia" w:cstheme="minorBidi"/>
          <w:b w:val="0"/>
          <w:bCs w:val="0"/>
          <w:noProof/>
          <w:color w:val="auto"/>
          <w:kern w:val="2"/>
          <w:sz w:val="24"/>
          <w:szCs w:val="24"/>
          <w:lang w:eastAsia="ko-KR"/>
          <w14:ligatures w14:val="standardContextual"/>
        </w:rPr>
      </w:pPr>
      <w:hyperlink w:anchor="_Toc213070147" w:history="1">
        <w:r w:rsidRPr="00201ED0">
          <w:rPr>
            <w:rStyle w:val="Hyperlink"/>
            <w:noProof/>
          </w:rPr>
          <w:t>4.2</w:t>
        </w:r>
        <w:r>
          <w:rPr>
            <w:rFonts w:eastAsiaTheme="minorEastAsia" w:cstheme="minorBidi"/>
            <w:b w:val="0"/>
            <w:bCs w:val="0"/>
            <w:noProof/>
            <w:color w:val="auto"/>
            <w:kern w:val="2"/>
            <w:sz w:val="24"/>
            <w:szCs w:val="24"/>
            <w:lang w:eastAsia="ko-KR"/>
            <w14:ligatures w14:val="standardContextual"/>
          </w:rPr>
          <w:tab/>
        </w:r>
        <w:r w:rsidRPr="00201ED0">
          <w:rPr>
            <w:rStyle w:val="Hyperlink"/>
            <w:noProof/>
          </w:rPr>
          <w:t>Integrated Multi-Contractor Environment</w:t>
        </w:r>
        <w:r>
          <w:rPr>
            <w:noProof/>
            <w:webHidden/>
          </w:rPr>
          <w:tab/>
        </w:r>
        <w:r>
          <w:rPr>
            <w:noProof/>
            <w:webHidden/>
          </w:rPr>
          <w:fldChar w:fldCharType="begin"/>
        </w:r>
        <w:r>
          <w:rPr>
            <w:noProof/>
            <w:webHidden/>
          </w:rPr>
          <w:instrText xml:space="preserve"> PAGEREF _Toc213070147 \h </w:instrText>
        </w:r>
        <w:r>
          <w:rPr>
            <w:noProof/>
            <w:webHidden/>
          </w:rPr>
        </w:r>
        <w:r>
          <w:rPr>
            <w:noProof/>
            <w:webHidden/>
          </w:rPr>
          <w:fldChar w:fldCharType="separate"/>
        </w:r>
        <w:r>
          <w:rPr>
            <w:noProof/>
            <w:webHidden/>
          </w:rPr>
          <w:t>19</w:t>
        </w:r>
        <w:r>
          <w:rPr>
            <w:noProof/>
            <w:webHidden/>
          </w:rPr>
          <w:fldChar w:fldCharType="end"/>
        </w:r>
      </w:hyperlink>
    </w:p>
    <w:p w14:paraId="2AD90AF5" w14:textId="169D6A0A" w:rsidR="00442B89" w:rsidRDefault="00442B89" w:rsidP="000C57A9">
      <w:pPr>
        <w:pStyle w:val="TOC3"/>
        <w:tabs>
          <w:tab w:val="right" w:leader="dot" w:pos="9350"/>
        </w:tabs>
        <w:spacing w:line="360" w:lineRule="auto"/>
        <w:ind w:left="720"/>
        <w:rPr>
          <w:rFonts w:eastAsiaTheme="minorEastAsia" w:cstheme="minorBidi"/>
          <w:noProof/>
          <w:color w:val="auto"/>
          <w:kern w:val="2"/>
          <w:sz w:val="24"/>
          <w:szCs w:val="24"/>
          <w:lang w:eastAsia="ko-KR"/>
          <w14:ligatures w14:val="standardContextual"/>
        </w:rPr>
      </w:pPr>
      <w:hyperlink w:anchor="_Toc213070148" w:history="1">
        <w:r w:rsidRPr="00201ED0">
          <w:rPr>
            <w:rStyle w:val="Hyperlink"/>
            <w:noProof/>
          </w:rPr>
          <w:t>4.2.1 UA3 – Managing QA Scope and Coordination Across the Multi-Contractor Environment</w:t>
        </w:r>
        <w:r>
          <w:rPr>
            <w:noProof/>
            <w:webHidden/>
          </w:rPr>
          <w:tab/>
        </w:r>
        <w:r>
          <w:rPr>
            <w:noProof/>
            <w:webHidden/>
          </w:rPr>
          <w:fldChar w:fldCharType="begin"/>
        </w:r>
        <w:r>
          <w:rPr>
            <w:noProof/>
            <w:webHidden/>
          </w:rPr>
          <w:instrText xml:space="preserve"> PAGEREF _Toc213070148 \h </w:instrText>
        </w:r>
        <w:r>
          <w:rPr>
            <w:noProof/>
            <w:webHidden/>
          </w:rPr>
        </w:r>
        <w:r>
          <w:rPr>
            <w:noProof/>
            <w:webHidden/>
          </w:rPr>
          <w:fldChar w:fldCharType="separate"/>
        </w:r>
        <w:r>
          <w:rPr>
            <w:noProof/>
            <w:webHidden/>
          </w:rPr>
          <w:t>19</w:t>
        </w:r>
        <w:r>
          <w:rPr>
            <w:noProof/>
            <w:webHidden/>
          </w:rPr>
          <w:fldChar w:fldCharType="end"/>
        </w:r>
      </w:hyperlink>
    </w:p>
    <w:p w14:paraId="63863264" w14:textId="4CBA3DDC" w:rsidR="00442B89" w:rsidRDefault="00442B89" w:rsidP="000C57A9">
      <w:pPr>
        <w:pStyle w:val="TOC3"/>
        <w:tabs>
          <w:tab w:val="left" w:pos="1320"/>
          <w:tab w:val="right" w:leader="dot" w:pos="9350"/>
        </w:tabs>
        <w:spacing w:line="360" w:lineRule="auto"/>
        <w:ind w:left="720"/>
        <w:rPr>
          <w:rStyle w:val="Hyperlink"/>
          <w:noProof/>
        </w:rPr>
      </w:pPr>
      <w:hyperlink w:anchor="_Toc213070149" w:history="1">
        <w:r w:rsidRPr="00201ED0">
          <w:rPr>
            <w:rStyle w:val="Hyperlink"/>
            <w:noProof/>
          </w:rPr>
          <w:t>4.2.3</w:t>
        </w:r>
        <w:r>
          <w:rPr>
            <w:rFonts w:eastAsiaTheme="minorEastAsia" w:cstheme="minorBidi"/>
            <w:noProof/>
            <w:color w:val="auto"/>
            <w:kern w:val="2"/>
            <w:sz w:val="24"/>
            <w:szCs w:val="24"/>
            <w:lang w:eastAsia="ko-KR"/>
            <w14:ligatures w14:val="standardContextual"/>
          </w:rPr>
          <w:tab/>
        </w:r>
        <w:r w:rsidRPr="00201ED0">
          <w:rPr>
            <w:rStyle w:val="Hyperlink"/>
            <w:noProof/>
          </w:rPr>
          <w:t xml:space="preserve">UA5 – Advancing CalSAWS Customer Outreach and Communications </w:t>
        </w:r>
        <w:r>
          <w:rPr>
            <w:noProof/>
            <w:webHidden/>
          </w:rPr>
          <w:tab/>
        </w:r>
        <w:r>
          <w:rPr>
            <w:noProof/>
            <w:webHidden/>
          </w:rPr>
          <w:fldChar w:fldCharType="begin"/>
        </w:r>
        <w:r>
          <w:rPr>
            <w:noProof/>
            <w:webHidden/>
          </w:rPr>
          <w:instrText xml:space="preserve"> PAGEREF _Toc213070149 \h </w:instrText>
        </w:r>
        <w:r>
          <w:rPr>
            <w:noProof/>
            <w:webHidden/>
          </w:rPr>
        </w:r>
        <w:r>
          <w:rPr>
            <w:noProof/>
            <w:webHidden/>
          </w:rPr>
          <w:fldChar w:fldCharType="separate"/>
        </w:r>
        <w:r>
          <w:rPr>
            <w:noProof/>
            <w:webHidden/>
          </w:rPr>
          <w:t>41</w:t>
        </w:r>
        <w:r>
          <w:rPr>
            <w:noProof/>
            <w:webHidden/>
          </w:rPr>
          <w:fldChar w:fldCharType="end"/>
        </w:r>
      </w:hyperlink>
    </w:p>
    <w:p w14:paraId="2E481AEB" w14:textId="7560F497" w:rsidR="00442B89" w:rsidRDefault="00442B89" w:rsidP="000C57A9">
      <w:pPr>
        <w:pStyle w:val="TOC2"/>
        <w:tabs>
          <w:tab w:val="left" w:pos="880"/>
          <w:tab w:val="right" w:leader="dot" w:pos="9350"/>
        </w:tabs>
        <w:spacing w:line="360" w:lineRule="auto"/>
        <w:rPr>
          <w:rFonts w:eastAsiaTheme="minorEastAsia" w:cstheme="minorBidi"/>
          <w:b w:val="0"/>
          <w:bCs w:val="0"/>
          <w:noProof/>
          <w:color w:val="auto"/>
          <w:kern w:val="2"/>
          <w:sz w:val="24"/>
          <w:szCs w:val="24"/>
          <w:lang w:eastAsia="ko-KR"/>
          <w14:ligatures w14:val="standardContextual"/>
        </w:rPr>
      </w:pPr>
      <w:hyperlink w:anchor="_Toc213070150" w:history="1">
        <w:r w:rsidRPr="00201ED0">
          <w:rPr>
            <w:rStyle w:val="Hyperlink"/>
            <w:noProof/>
          </w:rPr>
          <w:t>4.3</w:t>
        </w:r>
        <w:r>
          <w:rPr>
            <w:rFonts w:eastAsiaTheme="minorEastAsia" w:cstheme="minorBidi"/>
            <w:b w:val="0"/>
            <w:bCs w:val="0"/>
            <w:noProof/>
            <w:color w:val="auto"/>
            <w:kern w:val="2"/>
            <w:sz w:val="24"/>
            <w:szCs w:val="24"/>
            <w:lang w:eastAsia="ko-KR"/>
            <w14:ligatures w14:val="standardContextual"/>
          </w:rPr>
          <w:tab/>
        </w:r>
        <w:r w:rsidRPr="00201ED0">
          <w:rPr>
            <w:rStyle w:val="Hyperlink"/>
            <w:noProof/>
          </w:rPr>
          <w:t>Software Development Lifecycle</w:t>
        </w:r>
        <w:r>
          <w:rPr>
            <w:noProof/>
            <w:webHidden/>
          </w:rPr>
          <w:tab/>
        </w:r>
        <w:r>
          <w:rPr>
            <w:noProof/>
            <w:webHidden/>
          </w:rPr>
          <w:fldChar w:fldCharType="begin"/>
        </w:r>
        <w:r>
          <w:rPr>
            <w:noProof/>
            <w:webHidden/>
          </w:rPr>
          <w:instrText xml:space="preserve"> PAGEREF _Toc213070150 \h </w:instrText>
        </w:r>
        <w:r>
          <w:rPr>
            <w:noProof/>
            <w:webHidden/>
          </w:rPr>
        </w:r>
        <w:r>
          <w:rPr>
            <w:noProof/>
            <w:webHidden/>
          </w:rPr>
          <w:fldChar w:fldCharType="separate"/>
        </w:r>
        <w:r>
          <w:rPr>
            <w:noProof/>
            <w:webHidden/>
          </w:rPr>
          <w:t>47</w:t>
        </w:r>
        <w:r>
          <w:rPr>
            <w:noProof/>
            <w:webHidden/>
          </w:rPr>
          <w:fldChar w:fldCharType="end"/>
        </w:r>
      </w:hyperlink>
    </w:p>
    <w:p w14:paraId="1F3D7520" w14:textId="0B0A581D" w:rsidR="00442B89" w:rsidRDefault="00442B89" w:rsidP="000C57A9">
      <w:pPr>
        <w:pStyle w:val="TOC3"/>
        <w:tabs>
          <w:tab w:val="left" w:pos="1320"/>
          <w:tab w:val="right" w:leader="dot" w:pos="9350"/>
        </w:tabs>
        <w:spacing w:line="360" w:lineRule="auto"/>
        <w:ind w:left="720"/>
        <w:rPr>
          <w:rFonts w:eastAsiaTheme="minorEastAsia" w:cstheme="minorBidi"/>
          <w:noProof/>
          <w:color w:val="auto"/>
          <w:kern w:val="2"/>
          <w:sz w:val="24"/>
          <w:szCs w:val="24"/>
          <w:lang w:eastAsia="ko-KR"/>
          <w14:ligatures w14:val="standardContextual"/>
        </w:rPr>
      </w:pPr>
      <w:hyperlink w:anchor="_Toc213070151" w:history="1">
        <w:r w:rsidRPr="00201ED0">
          <w:rPr>
            <w:rStyle w:val="Hyperlink"/>
            <w:noProof/>
          </w:rPr>
          <w:t>4.3.1</w:t>
        </w:r>
        <w:r>
          <w:rPr>
            <w:rFonts w:eastAsiaTheme="minorEastAsia" w:cstheme="minorBidi"/>
            <w:noProof/>
            <w:color w:val="auto"/>
            <w:kern w:val="2"/>
            <w:sz w:val="24"/>
            <w:szCs w:val="24"/>
            <w:lang w:eastAsia="ko-KR"/>
            <w14:ligatures w14:val="standardContextual"/>
          </w:rPr>
          <w:tab/>
        </w:r>
        <w:r w:rsidRPr="00201ED0">
          <w:rPr>
            <w:rStyle w:val="Hyperlink"/>
            <w:noProof/>
          </w:rPr>
          <w:t>UA6 – Approach Enhances Overall Impact of QA Services on Full Development Lifecycle</w:t>
        </w:r>
        <w:r>
          <w:rPr>
            <w:noProof/>
            <w:webHidden/>
          </w:rPr>
          <w:tab/>
        </w:r>
        <w:r>
          <w:rPr>
            <w:noProof/>
            <w:webHidden/>
          </w:rPr>
          <w:fldChar w:fldCharType="begin"/>
        </w:r>
        <w:r>
          <w:rPr>
            <w:noProof/>
            <w:webHidden/>
          </w:rPr>
          <w:instrText xml:space="preserve"> PAGEREF _Toc213070151 \h </w:instrText>
        </w:r>
        <w:r>
          <w:rPr>
            <w:noProof/>
            <w:webHidden/>
          </w:rPr>
        </w:r>
        <w:r>
          <w:rPr>
            <w:noProof/>
            <w:webHidden/>
          </w:rPr>
          <w:fldChar w:fldCharType="separate"/>
        </w:r>
        <w:r>
          <w:rPr>
            <w:noProof/>
            <w:webHidden/>
          </w:rPr>
          <w:t>47</w:t>
        </w:r>
        <w:r>
          <w:rPr>
            <w:noProof/>
            <w:webHidden/>
          </w:rPr>
          <w:fldChar w:fldCharType="end"/>
        </w:r>
      </w:hyperlink>
    </w:p>
    <w:p w14:paraId="13C3189B" w14:textId="6CEA2699" w:rsidR="00442B89" w:rsidRDefault="00442B89" w:rsidP="000C57A9">
      <w:pPr>
        <w:pStyle w:val="TOC3"/>
        <w:tabs>
          <w:tab w:val="left" w:pos="1320"/>
          <w:tab w:val="right" w:leader="dot" w:pos="9350"/>
        </w:tabs>
        <w:spacing w:line="360" w:lineRule="auto"/>
        <w:ind w:left="720"/>
        <w:rPr>
          <w:rFonts w:eastAsiaTheme="minorEastAsia" w:cstheme="minorBidi"/>
          <w:noProof/>
          <w:color w:val="auto"/>
          <w:kern w:val="2"/>
          <w:sz w:val="24"/>
          <w:szCs w:val="24"/>
          <w:lang w:eastAsia="ko-KR"/>
          <w14:ligatures w14:val="standardContextual"/>
        </w:rPr>
      </w:pPr>
      <w:hyperlink w:anchor="_Toc213070152" w:history="1">
        <w:r w:rsidRPr="00201ED0">
          <w:rPr>
            <w:rStyle w:val="Hyperlink"/>
            <w:noProof/>
          </w:rPr>
          <w:t>4.3.2</w:t>
        </w:r>
        <w:r>
          <w:rPr>
            <w:rFonts w:eastAsiaTheme="minorEastAsia" w:cstheme="minorBidi"/>
            <w:noProof/>
            <w:color w:val="auto"/>
            <w:kern w:val="2"/>
            <w:sz w:val="24"/>
            <w:szCs w:val="24"/>
            <w:lang w:eastAsia="ko-KR"/>
            <w14:ligatures w14:val="standardContextual"/>
          </w:rPr>
          <w:tab/>
        </w:r>
        <w:r w:rsidRPr="00201ED0">
          <w:rPr>
            <w:rStyle w:val="Hyperlink"/>
            <w:rFonts w:eastAsia="Century Gothic"/>
            <w:noProof/>
          </w:rPr>
          <w:t xml:space="preserve">UA7 – </w:t>
        </w:r>
        <w:r w:rsidRPr="00201ED0">
          <w:rPr>
            <w:rStyle w:val="Hyperlink"/>
            <w:noProof/>
          </w:rPr>
          <w:t>Understanding of the Consortium’s Vision for User Experience</w:t>
        </w:r>
        <w:r>
          <w:rPr>
            <w:noProof/>
            <w:webHidden/>
          </w:rPr>
          <w:tab/>
        </w:r>
        <w:r>
          <w:rPr>
            <w:noProof/>
            <w:webHidden/>
          </w:rPr>
          <w:fldChar w:fldCharType="begin"/>
        </w:r>
        <w:r>
          <w:rPr>
            <w:noProof/>
            <w:webHidden/>
          </w:rPr>
          <w:instrText xml:space="preserve"> PAGEREF _Toc213070152 \h </w:instrText>
        </w:r>
        <w:r>
          <w:rPr>
            <w:noProof/>
            <w:webHidden/>
          </w:rPr>
        </w:r>
        <w:r>
          <w:rPr>
            <w:noProof/>
            <w:webHidden/>
          </w:rPr>
          <w:fldChar w:fldCharType="separate"/>
        </w:r>
        <w:r>
          <w:rPr>
            <w:noProof/>
            <w:webHidden/>
          </w:rPr>
          <w:t>55</w:t>
        </w:r>
        <w:r>
          <w:rPr>
            <w:noProof/>
            <w:webHidden/>
          </w:rPr>
          <w:fldChar w:fldCharType="end"/>
        </w:r>
      </w:hyperlink>
    </w:p>
    <w:p w14:paraId="3E93ACD4" w14:textId="055221F7" w:rsidR="00442B89" w:rsidRDefault="00442B89" w:rsidP="000C57A9">
      <w:pPr>
        <w:pStyle w:val="TOC3"/>
        <w:tabs>
          <w:tab w:val="left" w:pos="1320"/>
          <w:tab w:val="right" w:leader="dot" w:pos="9350"/>
        </w:tabs>
        <w:spacing w:line="360" w:lineRule="auto"/>
        <w:ind w:left="720"/>
        <w:rPr>
          <w:rFonts w:eastAsiaTheme="minorEastAsia" w:cstheme="minorBidi"/>
          <w:noProof/>
          <w:color w:val="auto"/>
          <w:kern w:val="2"/>
          <w:sz w:val="24"/>
          <w:szCs w:val="24"/>
          <w:lang w:eastAsia="ko-KR"/>
          <w14:ligatures w14:val="standardContextual"/>
        </w:rPr>
      </w:pPr>
      <w:hyperlink w:anchor="_Toc213070153" w:history="1">
        <w:r w:rsidRPr="00201ED0">
          <w:rPr>
            <w:rStyle w:val="Hyperlink"/>
            <w:noProof/>
          </w:rPr>
          <w:t>4.3.3</w:t>
        </w:r>
        <w:r>
          <w:rPr>
            <w:rFonts w:eastAsiaTheme="minorEastAsia" w:cstheme="minorBidi"/>
            <w:noProof/>
            <w:color w:val="auto"/>
            <w:kern w:val="2"/>
            <w:sz w:val="24"/>
            <w:szCs w:val="24"/>
            <w:lang w:eastAsia="ko-KR"/>
            <w14:ligatures w14:val="standardContextual"/>
          </w:rPr>
          <w:tab/>
        </w:r>
        <w:r w:rsidRPr="00201ED0">
          <w:rPr>
            <w:rStyle w:val="Hyperlink"/>
            <w:rFonts w:eastAsia="Century Gothic"/>
            <w:noProof/>
          </w:rPr>
          <w:t xml:space="preserve">UA8 – </w:t>
        </w:r>
        <w:r w:rsidRPr="00201ED0">
          <w:rPr>
            <w:rStyle w:val="Hyperlink"/>
            <w:noProof/>
          </w:rPr>
          <w:t>Understanding the Consortium’s Vision for Automation</w:t>
        </w:r>
        <w:r>
          <w:rPr>
            <w:noProof/>
            <w:webHidden/>
          </w:rPr>
          <w:tab/>
        </w:r>
        <w:r>
          <w:rPr>
            <w:noProof/>
            <w:webHidden/>
          </w:rPr>
          <w:fldChar w:fldCharType="begin"/>
        </w:r>
        <w:r>
          <w:rPr>
            <w:noProof/>
            <w:webHidden/>
          </w:rPr>
          <w:instrText xml:space="preserve"> PAGEREF _Toc213070153 \h </w:instrText>
        </w:r>
        <w:r>
          <w:rPr>
            <w:noProof/>
            <w:webHidden/>
          </w:rPr>
        </w:r>
        <w:r>
          <w:rPr>
            <w:noProof/>
            <w:webHidden/>
          </w:rPr>
          <w:fldChar w:fldCharType="separate"/>
        </w:r>
        <w:r>
          <w:rPr>
            <w:noProof/>
            <w:webHidden/>
          </w:rPr>
          <w:t>61</w:t>
        </w:r>
        <w:r>
          <w:rPr>
            <w:noProof/>
            <w:webHidden/>
          </w:rPr>
          <w:fldChar w:fldCharType="end"/>
        </w:r>
      </w:hyperlink>
    </w:p>
    <w:p w14:paraId="425A1589" w14:textId="4EC7C8AA" w:rsidR="00442B89" w:rsidRDefault="00442B89" w:rsidP="000C57A9">
      <w:pPr>
        <w:pStyle w:val="TOC3"/>
        <w:tabs>
          <w:tab w:val="left" w:pos="1320"/>
          <w:tab w:val="right" w:leader="dot" w:pos="9350"/>
        </w:tabs>
        <w:spacing w:line="360" w:lineRule="auto"/>
        <w:ind w:left="720"/>
        <w:rPr>
          <w:rStyle w:val="Hyperlink"/>
          <w:noProof/>
        </w:rPr>
      </w:pPr>
      <w:hyperlink w:anchor="_Toc213070154" w:history="1">
        <w:r w:rsidRPr="00201ED0">
          <w:rPr>
            <w:rStyle w:val="Hyperlink"/>
            <w:noProof/>
          </w:rPr>
          <w:t>4.3.4</w:t>
        </w:r>
        <w:r>
          <w:rPr>
            <w:rFonts w:eastAsiaTheme="minorEastAsia" w:cstheme="minorBidi"/>
            <w:noProof/>
            <w:color w:val="auto"/>
            <w:kern w:val="2"/>
            <w:sz w:val="24"/>
            <w:szCs w:val="24"/>
            <w:lang w:eastAsia="ko-KR"/>
            <w14:ligatures w14:val="standardContextual"/>
          </w:rPr>
          <w:tab/>
        </w:r>
        <w:r w:rsidRPr="00201ED0">
          <w:rPr>
            <w:rStyle w:val="Hyperlink"/>
            <w:rFonts w:eastAsia="Century Gothic"/>
            <w:noProof/>
          </w:rPr>
          <w:t xml:space="preserve">UA9 – </w:t>
        </w:r>
        <w:r w:rsidRPr="00201ED0">
          <w:rPr>
            <w:rStyle w:val="Hyperlink"/>
            <w:noProof/>
          </w:rPr>
          <w:t>Understanding the Consortium’s Vision for DevSecOps</w:t>
        </w:r>
        <w:r>
          <w:rPr>
            <w:noProof/>
            <w:webHidden/>
          </w:rPr>
          <w:tab/>
        </w:r>
        <w:r>
          <w:rPr>
            <w:noProof/>
            <w:webHidden/>
          </w:rPr>
          <w:fldChar w:fldCharType="begin"/>
        </w:r>
        <w:r>
          <w:rPr>
            <w:noProof/>
            <w:webHidden/>
          </w:rPr>
          <w:instrText xml:space="preserve"> PAGEREF _Toc213070154 \h </w:instrText>
        </w:r>
        <w:r>
          <w:rPr>
            <w:noProof/>
            <w:webHidden/>
          </w:rPr>
        </w:r>
        <w:r>
          <w:rPr>
            <w:noProof/>
            <w:webHidden/>
          </w:rPr>
          <w:fldChar w:fldCharType="separate"/>
        </w:r>
        <w:r>
          <w:rPr>
            <w:noProof/>
            <w:webHidden/>
          </w:rPr>
          <w:t>67</w:t>
        </w:r>
        <w:r>
          <w:rPr>
            <w:noProof/>
            <w:webHidden/>
          </w:rPr>
          <w:fldChar w:fldCharType="end"/>
        </w:r>
      </w:hyperlink>
    </w:p>
    <w:p w14:paraId="14F8FE6A" w14:textId="390B7815" w:rsidR="00442B89" w:rsidRDefault="00442B89" w:rsidP="000C57A9">
      <w:pPr>
        <w:pStyle w:val="TOC2"/>
        <w:tabs>
          <w:tab w:val="left" w:pos="880"/>
          <w:tab w:val="right" w:leader="dot" w:pos="9350"/>
        </w:tabs>
        <w:spacing w:line="360" w:lineRule="auto"/>
        <w:rPr>
          <w:rFonts w:eastAsiaTheme="minorEastAsia" w:cstheme="minorBidi"/>
          <w:b w:val="0"/>
          <w:bCs w:val="0"/>
          <w:noProof/>
          <w:color w:val="auto"/>
          <w:kern w:val="2"/>
          <w:sz w:val="24"/>
          <w:szCs w:val="24"/>
          <w:lang w:eastAsia="ko-KR"/>
          <w14:ligatures w14:val="standardContextual"/>
        </w:rPr>
      </w:pPr>
      <w:hyperlink w:anchor="_Toc213070155" w:history="1">
        <w:r w:rsidRPr="00201ED0">
          <w:rPr>
            <w:rStyle w:val="Hyperlink"/>
            <w:noProof/>
          </w:rPr>
          <w:t>4.4</w:t>
        </w:r>
        <w:r>
          <w:rPr>
            <w:rFonts w:eastAsiaTheme="minorEastAsia" w:cstheme="minorBidi"/>
            <w:b w:val="0"/>
            <w:bCs w:val="0"/>
            <w:noProof/>
            <w:color w:val="auto"/>
            <w:kern w:val="2"/>
            <w:sz w:val="24"/>
            <w:szCs w:val="24"/>
            <w:lang w:eastAsia="ko-KR"/>
            <w14:ligatures w14:val="standardContextual"/>
          </w:rPr>
          <w:tab/>
        </w:r>
        <w:r w:rsidRPr="00201ED0">
          <w:rPr>
            <w:rStyle w:val="Hyperlink"/>
            <w:noProof/>
          </w:rPr>
          <w:t>Approach to Independent Test</w:t>
        </w:r>
        <w:r>
          <w:rPr>
            <w:noProof/>
            <w:webHidden/>
          </w:rPr>
          <w:tab/>
        </w:r>
        <w:r>
          <w:rPr>
            <w:noProof/>
            <w:webHidden/>
          </w:rPr>
          <w:fldChar w:fldCharType="begin"/>
        </w:r>
        <w:r>
          <w:rPr>
            <w:noProof/>
            <w:webHidden/>
          </w:rPr>
          <w:instrText xml:space="preserve"> PAGEREF _Toc213070155 \h </w:instrText>
        </w:r>
        <w:r>
          <w:rPr>
            <w:noProof/>
            <w:webHidden/>
          </w:rPr>
        </w:r>
        <w:r>
          <w:rPr>
            <w:noProof/>
            <w:webHidden/>
          </w:rPr>
          <w:fldChar w:fldCharType="separate"/>
        </w:r>
        <w:r>
          <w:rPr>
            <w:noProof/>
            <w:webHidden/>
          </w:rPr>
          <w:t>73</w:t>
        </w:r>
        <w:r>
          <w:rPr>
            <w:noProof/>
            <w:webHidden/>
          </w:rPr>
          <w:fldChar w:fldCharType="end"/>
        </w:r>
      </w:hyperlink>
    </w:p>
    <w:p w14:paraId="2F44F396" w14:textId="1A41DE2E" w:rsidR="00442B89" w:rsidRDefault="00442B89" w:rsidP="000C57A9">
      <w:pPr>
        <w:pStyle w:val="TOC3"/>
        <w:tabs>
          <w:tab w:val="left" w:pos="1320"/>
          <w:tab w:val="right" w:leader="dot" w:pos="9350"/>
        </w:tabs>
        <w:spacing w:line="360" w:lineRule="auto"/>
        <w:ind w:left="720"/>
        <w:rPr>
          <w:rFonts w:eastAsiaTheme="minorEastAsia" w:cstheme="minorBidi"/>
          <w:noProof/>
          <w:color w:val="auto"/>
          <w:kern w:val="2"/>
          <w:sz w:val="24"/>
          <w:szCs w:val="24"/>
          <w:lang w:eastAsia="ko-KR"/>
          <w14:ligatures w14:val="standardContextual"/>
        </w:rPr>
      </w:pPr>
      <w:hyperlink w:anchor="_Toc213070156" w:history="1">
        <w:r w:rsidRPr="00201ED0">
          <w:rPr>
            <w:rStyle w:val="Hyperlink"/>
            <w:noProof/>
          </w:rPr>
          <w:t>4.4.1</w:t>
        </w:r>
        <w:r>
          <w:rPr>
            <w:rFonts w:eastAsiaTheme="minorEastAsia" w:cstheme="minorBidi"/>
            <w:noProof/>
            <w:color w:val="auto"/>
            <w:kern w:val="2"/>
            <w:sz w:val="24"/>
            <w:szCs w:val="24"/>
            <w:lang w:eastAsia="ko-KR"/>
            <w14:ligatures w14:val="standardContextual"/>
          </w:rPr>
          <w:tab/>
        </w:r>
        <w:r w:rsidRPr="00201ED0">
          <w:rPr>
            <w:rStyle w:val="Hyperlink"/>
            <w:noProof/>
          </w:rPr>
          <w:t>UA10 Approach for Independent Test</w:t>
        </w:r>
        <w:r>
          <w:rPr>
            <w:noProof/>
            <w:webHidden/>
          </w:rPr>
          <w:tab/>
        </w:r>
        <w:r>
          <w:rPr>
            <w:noProof/>
            <w:webHidden/>
          </w:rPr>
          <w:fldChar w:fldCharType="begin"/>
        </w:r>
        <w:r>
          <w:rPr>
            <w:noProof/>
            <w:webHidden/>
          </w:rPr>
          <w:instrText xml:space="preserve"> PAGEREF _Toc213070156 \h </w:instrText>
        </w:r>
        <w:r>
          <w:rPr>
            <w:noProof/>
            <w:webHidden/>
          </w:rPr>
        </w:r>
        <w:r>
          <w:rPr>
            <w:noProof/>
            <w:webHidden/>
          </w:rPr>
          <w:fldChar w:fldCharType="separate"/>
        </w:r>
        <w:r>
          <w:rPr>
            <w:noProof/>
            <w:webHidden/>
          </w:rPr>
          <w:t>73</w:t>
        </w:r>
        <w:r>
          <w:rPr>
            <w:noProof/>
            <w:webHidden/>
          </w:rPr>
          <w:fldChar w:fldCharType="end"/>
        </w:r>
      </w:hyperlink>
    </w:p>
    <w:p w14:paraId="03419B7C" w14:textId="3DE060C3" w:rsidR="00442B89" w:rsidRDefault="00442B89" w:rsidP="000C57A9">
      <w:pPr>
        <w:pStyle w:val="TOC3"/>
        <w:tabs>
          <w:tab w:val="left" w:pos="1320"/>
          <w:tab w:val="right" w:leader="dot" w:pos="9350"/>
        </w:tabs>
        <w:spacing w:line="360" w:lineRule="auto"/>
        <w:ind w:left="720"/>
        <w:rPr>
          <w:rFonts w:eastAsiaTheme="minorEastAsia" w:cstheme="minorBidi"/>
          <w:noProof/>
          <w:color w:val="auto"/>
          <w:kern w:val="2"/>
          <w:sz w:val="24"/>
          <w:szCs w:val="24"/>
          <w:lang w:eastAsia="ko-KR"/>
          <w14:ligatures w14:val="standardContextual"/>
        </w:rPr>
      </w:pPr>
      <w:hyperlink w:anchor="_Toc213070157" w:history="1">
        <w:r w:rsidRPr="00201ED0">
          <w:rPr>
            <w:rStyle w:val="Hyperlink"/>
            <w:noProof/>
          </w:rPr>
          <w:t>4.4.2</w:t>
        </w:r>
        <w:r>
          <w:rPr>
            <w:rFonts w:eastAsiaTheme="minorEastAsia" w:cstheme="minorBidi"/>
            <w:noProof/>
            <w:color w:val="auto"/>
            <w:kern w:val="2"/>
            <w:sz w:val="24"/>
            <w:szCs w:val="24"/>
            <w:lang w:eastAsia="ko-KR"/>
            <w14:ligatures w14:val="standardContextual"/>
          </w:rPr>
          <w:tab/>
        </w:r>
        <w:r w:rsidRPr="00201ED0">
          <w:rPr>
            <w:rStyle w:val="Hyperlink"/>
            <w:noProof/>
          </w:rPr>
          <w:t>UA11 Approach to Ensure Continuous and Effective Independent Test</w:t>
        </w:r>
        <w:r>
          <w:rPr>
            <w:noProof/>
            <w:webHidden/>
          </w:rPr>
          <w:tab/>
        </w:r>
        <w:r>
          <w:rPr>
            <w:noProof/>
            <w:webHidden/>
          </w:rPr>
          <w:fldChar w:fldCharType="begin"/>
        </w:r>
        <w:r>
          <w:rPr>
            <w:noProof/>
            <w:webHidden/>
          </w:rPr>
          <w:instrText xml:space="preserve"> PAGEREF _Toc213070157 \h </w:instrText>
        </w:r>
        <w:r>
          <w:rPr>
            <w:noProof/>
            <w:webHidden/>
          </w:rPr>
        </w:r>
        <w:r>
          <w:rPr>
            <w:noProof/>
            <w:webHidden/>
          </w:rPr>
          <w:fldChar w:fldCharType="separate"/>
        </w:r>
        <w:r>
          <w:rPr>
            <w:noProof/>
            <w:webHidden/>
          </w:rPr>
          <w:t>85</w:t>
        </w:r>
        <w:r>
          <w:rPr>
            <w:noProof/>
            <w:webHidden/>
          </w:rPr>
          <w:fldChar w:fldCharType="end"/>
        </w:r>
      </w:hyperlink>
    </w:p>
    <w:p w14:paraId="7428AD0A" w14:textId="06F69D4C" w:rsidR="00CB3659" w:rsidRDefault="00D41F62" w:rsidP="009755E1">
      <w:pPr>
        <w:pStyle w:val="CS-IBMResponseText"/>
        <w:spacing w:line="276" w:lineRule="auto"/>
      </w:pPr>
      <w:r>
        <w:rPr>
          <w:rFonts w:ascii="Arial Bold" w:hAnsi="Arial Bold"/>
          <w:noProof/>
          <w:color w:val="106288"/>
          <w:szCs w:val="24"/>
        </w:rPr>
        <w:fldChar w:fldCharType="end"/>
      </w:r>
    </w:p>
    <w:p w14:paraId="57834401" w14:textId="77777777" w:rsidR="008C133D" w:rsidRDefault="008C133D" w:rsidP="00A56FE9">
      <w:pPr>
        <w:pStyle w:val="CS-IBMResponseText"/>
      </w:pPr>
    </w:p>
    <w:p w14:paraId="39C12D2A" w14:textId="35586ED8" w:rsidR="000813AF" w:rsidRDefault="000813AF" w:rsidP="00A56FE9">
      <w:pPr>
        <w:pStyle w:val="CS-IBMResponseText"/>
      </w:pPr>
      <w:r>
        <w:br w:type="page"/>
      </w:r>
    </w:p>
    <w:p w14:paraId="376B6697" w14:textId="7B466452" w:rsidR="00A82685" w:rsidRPr="003E2D7E" w:rsidRDefault="00D23B44" w:rsidP="000C57A9">
      <w:pPr>
        <w:pStyle w:val="CS-IBMTOCforTOCTitleonly"/>
        <w:spacing w:line="276" w:lineRule="auto"/>
        <w:jc w:val="left"/>
        <w:rPr>
          <w:rFonts w:ascii="Century Gothic" w:hAnsi="Century Gothic"/>
        </w:rPr>
      </w:pPr>
      <w:r w:rsidRPr="006A4B60">
        <w:rPr>
          <w:rFonts w:ascii="Century Gothic" w:hAnsi="Century Gothic"/>
        </w:rPr>
        <w:lastRenderedPageBreak/>
        <w:t>Table of Figures</w:t>
      </w:r>
    </w:p>
    <w:p w14:paraId="366744C7" w14:textId="2686255B" w:rsidR="00E65461" w:rsidRDefault="00A82685"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en-US"/>
          <w14:ligatures w14:val="standardContextual"/>
        </w:rPr>
      </w:pPr>
      <w:r>
        <w:rPr>
          <w:rFonts w:ascii="IBM Plex Sans" w:hAnsi="IBM Plex Sans"/>
          <w:color w:val="595959"/>
          <w:sz w:val="20"/>
          <w:szCs w:val="20"/>
        </w:rPr>
        <w:fldChar w:fldCharType="begin"/>
      </w:r>
      <w:r>
        <w:rPr>
          <w:rFonts w:ascii="IBM Plex Sans" w:hAnsi="IBM Plex Sans"/>
          <w:color w:val="595959"/>
          <w:sz w:val="20"/>
          <w:szCs w:val="20"/>
        </w:rPr>
        <w:instrText xml:space="preserve"> TOC \h \z \c "Figure 4.1.1." </w:instrText>
      </w:r>
      <w:r>
        <w:rPr>
          <w:rFonts w:ascii="IBM Plex Sans" w:hAnsi="IBM Plex Sans"/>
          <w:color w:val="595959"/>
          <w:sz w:val="20"/>
          <w:szCs w:val="20"/>
        </w:rPr>
        <w:fldChar w:fldCharType="separate"/>
      </w:r>
      <w:hyperlink w:anchor="_Toc212408688" w:history="1">
        <w:r w:rsidR="00E65461" w:rsidRPr="004D079E">
          <w:rPr>
            <w:rStyle w:val="Hyperlink"/>
            <w:noProof/>
          </w:rPr>
          <w:t>Figure 4.1.1. 1 Quality Assurance Staffing</w:t>
        </w:r>
        <w:r w:rsidR="00E65461">
          <w:rPr>
            <w:noProof/>
            <w:webHidden/>
          </w:rPr>
          <w:tab/>
        </w:r>
        <w:r w:rsidR="00E65461">
          <w:rPr>
            <w:noProof/>
            <w:webHidden/>
          </w:rPr>
          <w:fldChar w:fldCharType="begin"/>
        </w:r>
        <w:r w:rsidR="00E65461">
          <w:rPr>
            <w:noProof/>
            <w:webHidden/>
          </w:rPr>
          <w:instrText xml:space="preserve"> PAGEREF _Toc212408688 \h </w:instrText>
        </w:r>
        <w:r w:rsidR="00E65461">
          <w:rPr>
            <w:noProof/>
            <w:webHidden/>
          </w:rPr>
        </w:r>
        <w:r w:rsidR="00E65461">
          <w:rPr>
            <w:noProof/>
            <w:webHidden/>
          </w:rPr>
          <w:fldChar w:fldCharType="separate"/>
        </w:r>
        <w:r w:rsidR="00FB29F8">
          <w:rPr>
            <w:noProof/>
            <w:webHidden/>
          </w:rPr>
          <w:t>2</w:t>
        </w:r>
        <w:r w:rsidR="00E65461">
          <w:rPr>
            <w:noProof/>
            <w:webHidden/>
          </w:rPr>
          <w:fldChar w:fldCharType="end"/>
        </w:r>
      </w:hyperlink>
    </w:p>
    <w:p w14:paraId="45C31DAB" w14:textId="729C9F5D" w:rsidR="00E65461" w:rsidRPr="00FC17C7" w:rsidRDefault="00A82685" w:rsidP="000C57A9">
      <w:pPr>
        <w:pStyle w:val="TableofFigures"/>
        <w:tabs>
          <w:tab w:val="right" w:leader="dot" w:pos="9350"/>
        </w:tabs>
        <w:spacing w:line="276" w:lineRule="auto"/>
        <w:rPr>
          <w:rStyle w:val="Hyperlink"/>
          <w:rFonts w:eastAsiaTheme="minorEastAsia"/>
        </w:rPr>
      </w:pPr>
      <w:r>
        <w:rPr>
          <w:rFonts w:ascii="IBM Plex Sans" w:hAnsi="IBM Plex Sans"/>
          <w:color w:val="595959"/>
          <w:sz w:val="20"/>
          <w:szCs w:val="20"/>
        </w:rPr>
        <w:fldChar w:fldCharType="end"/>
      </w:r>
      <w:r w:rsidRPr="00FC17C7">
        <w:rPr>
          <w:rStyle w:val="Hyperlink"/>
          <w:noProof/>
        </w:rPr>
        <w:fldChar w:fldCharType="begin"/>
      </w:r>
      <w:r w:rsidRPr="00FC17C7">
        <w:rPr>
          <w:rStyle w:val="Hyperlink"/>
          <w:noProof/>
        </w:rPr>
        <w:instrText xml:space="preserve"> TOC \h \z \c "Figure 4.1.2." </w:instrText>
      </w:r>
      <w:r w:rsidRPr="00FC17C7">
        <w:rPr>
          <w:rStyle w:val="Hyperlink"/>
          <w:noProof/>
        </w:rPr>
        <w:fldChar w:fldCharType="separate"/>
      </w:r>
      <w:hyperlink w:anchor="_Toc212408693" w:history="1">
        <w:r w:rsidR="00E65461" w:rsidRPr="00402140">
          <w:rPr>
            <w:rStyle w:val="Hyperlink"/>
            <w:noProof/>
          </w:rPr>
          <w:t>Figure 4.1.2. 1 Sample M&amp;O Staffing Mix</w:t>
        </w:r>
        <w:r w:rsidR="00E65461" w:rsidRPr="00FC17C7">
          <w:rPr>
            <w:rStyle w:val="Hyperlink"/>
            <w:webHidden/>
          </w:rPr>
          <w:tab/>
        </w:r>
        <w:r w:rsidR="00E65461" w:rsidRPr="00FC17C7">
          <w:rPr>
            <w:rStyle w:val="Hyperlink"/>
            <w:webHidden/>
          </w:rPr>
          <w:fldChar w:fldCharType="begin"/>
        </w:r>
        <w:r w:rsidR="00E65461" w:rsidRPr="00FC17C7">
          <w:rPr>
            <w:rStyle w:val="Hyperlink"/>
            <w:webHidden/>
          </w:rPr>
          <w:instrText xml:space="preserve"> PAGEREF _Toc212408693 \h </w:instrText>
        </w:r>
        <w:r w:rsidR="00E65461" w:rsidRPr="00FC17C7">
          <w:rPr>
            <w:rStyle w:val="Hyperlink"/>
            <w:webHidden/>
          </w:rPr>
        </w:r>
        <w:r w:rsidR="00E65461" w:rsidRPr="00FC17C7">
          <w:rPr>
            <w:rStyle w:val="Hyperlink"/>
            <w:webHidden/>
          </w:rPr>
          <w:fldChar w:fldCharType="separate"/>
        </w:r>
        <w:r w:rsidR="00FB29F8">
          <w:rPr>
            <w:rStyle w:val="Hyperlink"/>
            <w:noProof/>
            <w:webHidden/>
          </w:rPr>
          <w:t>12</w:t>
        </w:r>
        <w:r w:rsidR="00E65461" w:rsidRPr="00FC17C7">
          <w:rPr>
            <w:rStyle w:val="Hyperlink"/>
            <w:webHidden/>
          </w:rPr>
          <w:fldChar w:fldCharType="end"/>
        </w:r>
      </w:hyperlink>
    </w:p>
    <w:p w14:paraId="2BC335E5" w14:textId="49E183BB" w:rsidR="00E65461" w:rsidRPr="00FC17C7" w:rsidRDefault="00A82685" w:rsidP="000C57A9">
      <w:pPr>
        <w:pStyle w:val="TableofFigures"/>
        <w:tabs>
          <w:tab w:val="right" w:leader="dot" w:pos="9350"/>
        </w:tabs>
        <w:spacing w:line="276" w:lineRule="auto"/>
        <w:rPr>
          <w:rStyle w:val="Hyperlink"/>
          <w:rFonts w:eastAsiaTheme="minorEastAsia"/>
          <w:noProof/>
        </w:rPr>
      </w:pPr>
      <w:r w:rsidRPr="00FC17C7">
        <w:rPr>
          <w:rStyle w:val="Hyperlink"/>
          <w:noProof/>
        </w:rPr>
        <w:fldChar w:fldCharType="end"/>
      </w:r>
      <w:r w:rsidRPr="00FC17C7">
        <w:rPr>
          <w:rStyle w:val="Hyperlink"/>
          <w:noProof/>
        </w:rPr>
        <w:fldChar w:fldCharType="begin"/>
      </w:r>
      <w:r w:rsidRPr="00FC17C7">
        <w:rPr>
          <w:rStyle w:val="Hyperlink"/>
          <w:noProof/>
        </w:rPr>
        <w:instrText xml:space="preserve"> TOC \h \z \c "Figure 4.2.1." </w:instrText>
      </w:r>
      <w:r w:rsidRPr="00FC17C7">
        <w:rPr>
          <w:rStyle w:val="Hyperlink"/>
          <w:noProof/>
        </w:rPr>
        <w:fldChar w:fldCharType="separate"/>
      </w:r>
      <w:hyperlink w:anchor="_Toc212408696" w:history="1">
        <w:r w:rsidR="00E65461" w:rsidRPr="003D35A6">
          <w:rPr>
            <w:rStyle w:val="Hyperlink"/>
            <w:noProof/>
          </w:rPr>
          <w:t>Figure 4.2.1. 1 Quality Index Dashboard</w:t>
        </w:r>
        <w:r w:rsidR="00E65461" w:rsidRPr="00FC17C7">
          <w:rPr>
            <w:rStyle w:val="Hyperlink"/>
            <w:webHidden/>
          </w:rPr>
          <w:tab/>
        </w:r>
        <w:r w:rsidR="00E65461" w:rsidRPr="00FC17C7">
          <w:rPr>
            <w:rStyle w:val="Hyperlink"/>
            <w:webHidden/>
          </w:rPr>
          <w:fldChar w:fldCharType="begin"/>
        </w:r>
        <w:r w:rsidR="00E65461" w:rsidRPr="00FC17C7">
          <w:rPr>
            <w:rStyle w:val="Hyperlink"/>
            <w:webHidden/>
          </w:rPr>
          <w:instrText xml:space="preserve"> PAGEREF _Toc212408696 \h </w:instrText>
        </w:r>
        <w:r w:rsidR="00E65461" w:rsidRPr="00FC17C7">
          <w:rPr>
            <w:rStyle w:val="Hyperlink"/>
            <w:webHidden/>
          </w:rPr>
        </w:r>
        <w:r w:rsidR="00E65461" w:rsidRPr="00FC17C7">
          <w:rPr>
            <w:rStyle w:val="Hyperlink"/>
            <w:webHidden/>
          </w:rPr>
          <w:fldChar w:fldCharType="separate"/>
        </w:r>
        <w:r w:rsidR="00FB29F8">
          <w:rPr>
            <w:rStyle w:val="Hyperlink"/>
            <w:noProof/>
            <w:webHidden/>
          </w:rPr>
          <w:t>24</w:t>
        </w:r>
        <w:r w:rsidR="00E65461" w:rsidRPr="00FC17C7">
          <w:rPr>
            <w:rStyle w:val="Hyperlink"/>
            <w:webHidden/>
          </w:rPr>
          <w:fldChar w:fldCharType="end"/>
        </w:r>
      </w:hyperlink>
    </w:p>
    <w:p w14:paraId="7AF750C1" w14:textId="6F57516F" w:rsidR="00E65461" w:rsidRPr="00FC17C7" w:rsidRDefault="00E65461" w:rsidP="000C57A9">
      <w:pPr>
        <w:pStyle w:val="TableofFigures"/>
        <w:tabs>
          <w:tab w:val="right" w:leader="dot" w:pos="9350"/>
        </w:tabs>
        <w:spacing w:line="276" w:lineRule="auto"/>
        <w:rPr>
          <w:rStyle w:val="Hyperlink"/>
        </w:rPr>
      </w:pPr>
      <w:hyperlink w:anchor="_Toc212408697" w:history="1">
        <w:r w:rsidRPr="003D35A6">
          <w:rPr>
            <w:rStyle w:val="Hyperlink"/>
            <w:noProof/>
          </w:rPr>
          <w:t>Figure 4.2.1. 2 IBM Quality Management System (QMS) Integration Model</w:t>
        </w:r>
        <w:r w:rsidRPr="00FC17C7">
          <w:rPr>
            <w:rStyle w:val="Hyperlink"/>
            <w:webHidden/>
          </w:rPr>
          <w:tab/>
        </w:r>
        <w:r w:rsidRPr="00FC17C7">
          <w:rPr>
            <w:rStyle w:val="Hyperlink"/>
            <w:webHidden/>
          </w:rPr>
          <w:fldChar w:fldCharType="begin"/>
        </w:r>
        <w:r w:rsidRPr="00FC17C7">
          <w:rPr>
            <w:rStyle w:val="Hyperlink"/>
            <w:webHidden/>
          </w:rPr>
          <w:instrText xml:space="preserve"> PAGEREF _Toc212408697 \h </w:instrText>
        </w:r>
        <w:r w:rsidRPr="00FC17C7">
          <w:rPr>
            <w:rStyle w:val="Hyperlink"/>
            <w:webHidden/>
          </w:rPr>
        </w:r>
        <w:r w:rsidRPr="00FC17C7">
          <w:rPr>
            <w:rStyle w:val="Hyperlink"/>
            <w:webHidden/>
          </w:rPr>
          <w:fldChar w:fldCharType="separate"/>
        </w:r>
        <w:r w:rsidR="00FB29F8">
          <w:rPr>
            <w:rStyle w:val="Hyperlink"/>
            <w:noProof/>
            <w:webHidden/>
          </w:rPr>
          <w:t>26</w:t>
        </w:r>
        <w:r w:rsidRPr="00FC17C7">
          <w:rPr>
            <w:rStyle w:val="Hyperlink"/>
            <w:webHidden/>
          </w:rPr>
          <w:fldChar w:fldCharType="end"/>
        </w:r>
      </w:hyperlink>
    </w:p>
    <w:p w14:paraId="7CE1EFA6" w14:textId="28055124" w:rsidR="00E65461" w:rsidRPr="00FC17C7" w:rsidRDefault="00E65461" w:rsidP="000C57A9">
      <w:pPr>
        <w:pStyle w:val="TableofFigures"/>
        <w:tabs>
          <w:tab w:val="right" w:leader="dot" w:pos="9350"/>
        </w:tabs>
        <w:spacing w:line="276" w:lineRule="auto"/>
        <w:rPr>
          <w:rStyle w:val="Hyperlink"/>
        </w:rPr>
      </w:pPr>
      <w:hyperlink w:anchor="_Toc212408698" w:history="1">
        <w:r w:rsidRPr="003D35A6">
          <w:rPr>
            <w:rStyle w:val="Hyperlink"/>
            <w:noProof/>
          </w:rPr>
          <w:t>Figure 4.2.1. 3 Seven Keys to Success</w:t>
        </w:r>
        <w:r w:rsidRPr="00FC17C7">
          <w:rPr>
            <w:rStyle w:val="Hyperlink"/>
            <w:webHidden/>
          </w:rPr>
          <w:tab/>
        </w:r>
        <w:r w:rsidRPr="00FC17C7">
          <w:rPr>
            <w:rStyle w:val="Hyperlink"/>
            <w:webHidden/>
          </w:rPr>
          <w:fldChar w:fldCharType="begin"/>
        </w:r>
        <w:r w:rsidRPr="00FC17C7">
          <w:rPr>
            <w:rStyle w:val="Hyperlink"/>
            <w:webHidden/>
          </w:rPr>
          <w:instrText xml:space="preserve"> PAGEREF _Toc212408698 \h </w:instrText>
        </w:r>
        <w:r w:rsidRPr="00FC17C7">
          <w:rPr>
            <w:rStyle w:val="Hyperlink"/>
            <w:webHidden/>
          </w:rPr>
        </w:r>
        <w:r w:rsidRPr="00FC17C7">
          <w:rPr>
            <w:rStyle w:val="Hyperlink"/>
            <w:webHidden/>
          </w:rPr>
          <w:fldChar w:fldCharType="separate"/>
        </w:r>
        <w:r w:rsidR="00FB29F8">
          <w:rPr>
            <w:rStyle w:val="Hyperlink"/>
            <w:noProof/>
            <w:webHidden/>
          </w:rPr>
          <w:t>29</w:t>
        </w:r>
        <w:r w:rsidRPr="00FC17C7">
          <w:rPr>
            <w:rStyle w:val="Hyperlink"/>
            <w:webHidden/>
          </w:rPr>
          <w:fldChar w:fldCharType="end"/>
        </w:r>
      </w:hyperlink>
    </w:p>
    <w:p w14:paraId="4E348562" w14:textId="2EC25B02" w:rsidR="00A82685" w:rsidRPr="00FC17C7" w:rsidRDefault="00A82685" w:rsidP="000C57A9">
      <w:pPr>
        <w:pStyle w:val="TableofFigures"/>
        <w:tabs>
          <w:tab w:val="right" w:leader="dot" w:pos="9350"/>
        </w:tabs>
        <w:spacing w:line="276" w:lineRule="auto"/>
        <w:rPr>
          <w:noProof/>
        </w:rPr>
      </w:pPr>
      <w:r w:rsidRPr="00FC17C7">
        <w:rPr>
          <w:rStyle w:val="Hyperlink"/>
          <w:noProof/>
        </w:rPr>
        <w:fldChar w:fldCharType="end"/>
      </w:r>
      <w:r>
        <w:fldChar w:fldCharType="begin"/>
      </w:r>
      <w:r>
        <w:instrText xml:space="preserve"> TOC \h \z \c "Figure 4.2.2." </w:instrText>
      </w:r>
      <w:r>
        <w:fldChar w:fldCharType="separate"/>
      </w:r>
      <w:hyperlink w:anchor="_Toc212200118" w:history="1">
        <w:r w:rsidRPr="00556DDB">
          <w:rPr>
            <w:rStyle w:val="Hyperlink"/>
            <w:noProof/>
          </w:rPr>
          <w:t>Figure 4.2.2. 1 Risk Detection Ecosystem</w:t>
        </w:r>
        <w:r>
          <w:rPr>
            <w:noProof/>
            <w:webHidden/>
          </w:rPr>
          <w:tab/>
        </w:r>
        <w:r>
          <w:rPr>
            <w:noProof/>
            <w:webHidden/>
          </w:rPr>
          <w:fldChar w:fldCharType="begin"/>
        </w:r>
        <w:r>
          <w:rPr>
            <w:noProof/>
            <w:webHidden/>
          </w:rPr>
          <w:instrText xml:space="preserve"> PAGEREF _Toc212200118 \h </w:instrText>
        </w:r>
        <w:r>
          <w:rPr>
            <w:noProof/>
            <w:webHidden/>
          </w:rPr>
        </w:r>
        <w:r>
          <w:rPr>
            <w:noProof/>
            <w:webHidden/>
          </w:rPr>
          <w:fldChar w:fldCharType="separate"/>
        </w:r>
        <w:r w:rsidR="00FB29F8">
          <w:rPr>
            <w:noProof/>
            <w:webHidden/>
          </w:rPr>
          <w:t>36</w:t>
        </w:r>
        <w:r>
          <w:rPr>
            <w:noProof/>
            <w:webHidden/>
          </w:rPr>
          <w:fldChar w:fldCharType="end"/>
        </w:r>
      </w:hyperlink>
    </w:p>
    <w:p w14:paraId="4FEDE036" w14:textId="33D7CEF7" w:rsidR="00A82685" w:rsidRDefault="00A82685"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2200119" w:history="1">
        <w:r w:rsidRPr="00556DDB">
          <w:rPr>
            <w:rStyle w:val="Hyperlink"/>
            <w:noProof/>
          </w:rPr>
          <w:t>Figure 4.2.2. 2 Risk Signal Pipeline</w:t>
        </w:r>
        <w:r>
          <w:rPr>
            <w:noProof/>
            <w:webHidden/>
          </w:rPr>
          <w:tab/>
        </w:r>
        <w:r>
          <w:rPr>
            <w:noProof/>
            <w:webHidden/>
          </w:rPr>
          <w:fldChar w:fldCharType="begin"/>
        </w:r>
        <w:r>
          <w:rPr>
            <w:noProof/>
            <w:webHidden/>
          </w:rPr>
          <w:instrText xml:space="preserve"> PAGEREF _Toc212200119 \h </w:instrText>
        </w:r>
        <w:r>
          <w:rPr>
            <w:noProof/>
            <w:webHidden/>
          </w:rPr>
        </w:r>
        <w:r>
          <w:rPr>
            <w:noProof/>
            <w:webHidden/>
          </w:rPr>
          <w:fldChar w:fldCharType="separate"/>
        </w:r>
        <w:r w:rsidR="00FB29F8">
          <w:rPr>
            <w:noProof/>
            <w:webHidden/>
          </w:rPr>
          <w:t>37</w:t>
        </w:r>
        <w:r>
          <w:rPr>
            <w:noProof/>
            <w:webHidden/>
          </w:rPr>
          <w:fldChar w:fldCharType="end"/>
        </w:r>
      </w:hyperlink>
    </w:p>
    <w:p w14:paraId="73BF48C3" w14:textId="135E8377" w:rsidR="00A82685" w:rsidRDefault="00A82685"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2200120" w:history="1">
        <w:r w:rsidRPr="00556DDB">
          <w:rPr>
            <w:rStyle w:val="Hyperlink"/>
            <w:noProof/>
          </w:rPr>
          <w:t>Figure 4.2.2. 3 Tool Integration Architecture</w:t>
        </w:r>
        <w:r>
          <w:rPr>
            <w:noProof/>
            <w:webHidden/>
          </w:rPr>
          <w:tab/>
        </w:r>
        <w:r>
          <w:rPr>
            <w:noProof/>
            <w:webHidden/>
          </w:rPr>
          <w:fldChar w:fldCharType="begin"/>
        </w:r>
        <w:r>
          <w:rPr>
            <w:noProof/>
            <w:webHidden/>
          </w:rPr>
          <w:instrText xml:space="preserve"> PAGEREF _Toc212200120 \h </w:instrText>
        </w:r>
        <w:r>
          <w:rPr>
            <w:noProof/>
            <w:webHidden/>
          </w:rPr>
        </w:r>
        <w:r>
          <w:rPr>
            <w:noProof/>
            <w:webHidden/>
          </w:rPr>
          <w:fldChar w:fldCharType="separate"/>
        </w:r>
        <w:r w:rsidR="00FB29F8">
          <w:rPr>
            <w:noProof/>
            <w:webHidden/>
          </w:rPr>
          <w:t>38</w:t>
        </w:r>
        <w:r>
          <w:rPr>
            <w:noProof/>
            <w:webHidden/>
          </w:rPr>
          <w:fldChar w:fldCharType="end"/>
        </w:r>
      </w:hyperlink>
    </w:p>
    <w:p w14:paraId="1BC3A316" w14:textId="1B1B91DF" w:rsidR="00A82685" w:rsidRPr="00C961F2" w:rsidRDefault="00A82685" w:rsidP="000C57A9">
      <w:pPr>
        <w:pStyle w:val="TableofFigures"/>
        <w:tabs>
          <w:tab w:val="right" w:leader="dot" w:pos="9350"/>
        </w:tabs>
        <w:spacing w:line="276" w:lineRule="auto"/>
        <w:rPr>
          <w:rStyle w:val="Hyperlink"/>
          <w:rFonts w:eastAsiaTheme="minorEastAsia"/>
        </w:rPr>
      </w:pPr>
      <w:r>
        <w:fldChar w:fldCharType="end"/>
      </w:r>
      <w:r w:rsidRPr="00C961F2">
        <w:rPr>
          <w:rStyle w:val="Hyperlink"/>
          <w:noProof/>
        </w:rPr>
        <w:fldChar w:fldCharType="begin"/>
      </w:r>
      <w:r w:rsidRPr="00C961F2">
        <w:rPr>
          <w:rStyle w:val="Hyperlink"/>
          <w:noProof/>
        </w:rPr>
        <w:instrText xml:space="preserve"> TOC \h \z \c "Figure 4.2.3." </w:instrText>
      </w:r>
      <w:r w:rsidRPr="00C961F2">
        <w:rPr>
          <w:rStyle w:val="Hyperlink"/>
          <w:noProof/>
        </w:rPr>
        <w:fldChar w:fldCharType="separate"/>
      </w:r>
      <w:hyperlink w:anchor="_Toc212200126" w:history="1">
        <w:r w:rsidRPr="00E06852">
          <w:rPr>
            <w:rStyle w:val="Hyperlink"/>
            <w:noProof/>
          </w:rPr>
          <w:t>Figure 4.2.3. 1 QA Deliverables Process Flow</w:t>
        </w:r>
        <w:r w:rsidRPr="00C961F2">
          <w:rPr>
            <w:rStyle w:val="Hyperlink"/>
            <w:webHidden/>
          </w:rPr>
          <w:tab/>
        </w:r>
        <w:r w:rsidRPr="00C961F2">
          <w:rPr>
            <w:rStyle w:val="Hyperlink"/>
            <w:webHidden/>
          </w:rPr>
          <w:fldChar w:fldCharType="begin"/>
        </w:r>
        <w:r w:rsidRPr="00C961F2">
          <w:rPr>
            <w:rStyle w:val="Hyperlink"/>
            <w:webHidden/>
          </w:rPr>
          <w:instrText xml:space="preserve"> PAGEREF _Toc212200126 \h </w:instrText>
        </w:r>
        <w:r w:rsidRPr="00C961F2">
          <w:rPr>
            <w:rStyle w:val="Hyperlink"/>
            <w:webHidden/>
          </w:rPr>
        </w:r>
        <w:r w:rsidRPr="00C961F2">
          <w:rPr>
            <w:rStyle w:val="Hyperlink"/>
            <w:webHidden/>
          </w:rPr>
          <w:fldChar w:fldCharType="separate"/>
        </w:r>
        <w:r w:rsidR="00FB29F8">
          <w:rPr>
            <w:rStyle w:val="Hyperlink"/>
            <w:noProof/>
            <w:webHidden/>
          </w:rPr>
          <w:t>42</w:t>
        </w:r>
        <w:r w:rsidRPr="00C961F2">
          <w:rPr>
            <w:rStyle w:val="Hyperlink"/>
            <w:webHidden/>
          </w:rPr>
          <w:fldChar w:fldCharType="end"/>
        </w:r>
      </w:hyperlink>
    </w:p>
    <w:p w14:paraId="3B543472" w14:textId="14531CBF" w:rsidR="00A82685" w:rsidRPr="00C961F2" w:rsidRDefault="00A82685" w:rsidP="000C57A9">
      <w:pPr>
        <w:pStyle w:val="TableofFigures"/>
        <w:tabs>
          <w:tab w:val="right" w:leader="dot" w:pos="9350"/>
        </w:tabs>
        <w:spacing w:line="276" w:lineRule="auto"/>
        <w:rPr>
          <w:rStyle w:val="Hyperlink"/>
        </w:rPr>
      </w:pPr>
      <w:hyperlink w:anchor="_Toc212200127" w:history="1">
        <w:r w:rsidRPr="00E06852">
          <w:rPr>
            <w:rStyle w:val="Hyperlink"/>
            <w:noProof/>
          </w:rPr>
          <w:t>Figure 4.2.3. 2 Communication QA Across CalSAWs and BenefitsCal</w:t>
        </w:r>
        <w:r w:rsidRPr="00C961F2">
          <w:rPr>
            <w:rStyle w:val="Hyperlink"/>
            <w:webHidden/>
          </w:rPr>
          <w:tab/>
        </w:r>
        <w:r w:rsidRPr="00C961F2">
          <w:rPr>
            <w:rStyle w:val="Hyperlink"/>
            <w:webHidden/>
          </w:rPr>
          <w:fldChar w:fldCharType="begin"/>
        </w:r>
        <w:r w:rsidRPr="00C961F2">
          <w:rPr>
            <w:rStyle w:val="Hyperlink"/>
            <w:webHidden/>
          </w:rPr>
          <w:instrText xml:space="preserve"> PAGEREF _Toc212200127 \h </w:instrText>
        </w:r>
        <w:r w:rsidRPr="00C961F2">
          <w:rPr>
            <w:rStyle w:val="Hyperlink"/>
            <w:webHidden/>
          </w:rPr>
        </w:r>
        <w:r w:rsidRPr="00C961F2">
          <w:rPr>
            <w:rStyle w:val="Hyperlink"/>
            <w:webHidden/>
          </w:rPr>
          <w:fldChar w:fldCharType="separate"/>
        </w:r>
        <w:r w:rsidR="00FB29F8">
          <w:rPr>
            <w:rStyle w:val="Hyperlink"/>
            <w:noProof/>
            <w:webHidden/>
          </w:rPr>
          <w:t>43</w:t>
        </w:r>
        <w:r w:rsidRPr="00C961F2">
          <w:rPr>
            <w:rStyle w:val="Hyperlink"/>
            <w:webHidden/>
          </w:rPr>
          <w:fldChar w:fldCharType="end"/>
        </w:r>
      </w:hyperlink>
    </w:p>
    <w:p w14:paraId="286CCEC2" w14:textId="5086133E" w:rsidR="00A82685" w:rsidRPr="00C961F2" w:rsidRDefault="00A82685" w:rsidP="000C57A9">
      <w:pPr>
        <w:pStyle w:val="TableofFigures"/>
        <w:tabs>
          <w:tab w:val="right" w:leader="dot" w:pos="9350"/>
        </w:tabs>
        <w:spacing w:line="276" w:lineRule="auto"/>
        <w:rPr>
          <w:rStyle w:val="Hyperlink"/>
        </w:rPr>
      </w:pPr>
      <w:hyperlink w:anchor="_Toc212200128" w:history="1">
        <w:r w:rsidRPr="00E06852">
          <w:rPr>
            <w:rStyle w:val="Hyperlink"/>
            <w:noProof/>
          </w:rPr>
          <w:t>Figure 4.2.3. 3 Continuous Improvement and Government Integration</w:t>
        </w:r>
        <w:r w:rsidRPr="00C961F2">
          <w:rPr>
            <w:rStyle w:val="Hyperlink"/>
            <w:webHidden/>
          </w:rPr>
          <w:tab/>
        </w:r>
        <w:r w:rsidRPr="00C961F2">
          <w:rPr>
            <w:rStyle w:val="Hyperlink"/>
            <w:webHidden/>
          </w:rPr>
          <w:fldChar w:fldCharType="begin"/>
        </w:r>
        <w:r w:rsidRPr="00C961F2">
          <w:rPr>
            <w:rStyle w:val="Hyperlink"/>
            <w:webHidden/>
          </w:rPr>
          <w:instrText xml:space="preserve"> PAGEREF _Toc212200128 \h </w:instrText>
        </w:r>
        <w:r w:rsidRPr="00C961F2">
          <w:rPr>
            <w:rStyle w:val="Hyperlink"/>
            <w:webHidden/>
          </w:rPr>
        </w:r>
        <w:r w:rsidRPr="00C961F2">
          <w:rPr>
            <w:rStyle w:val="Hyperlink"/>
            <w:webHidden/>
          </w:rPr>
          <w:fldChar w:fldCharType="separate"/>
        </w:r>
        <w:r w:rsidR="00FB29F8">
          <w:rPr>
            <w:rStyle w:val="Hyperlink"/>
            <w:noProof/>
            <w:webHidden/>
          </w:rPr>
          <w:t>45</w:t>
        </w:r>
        <w:r w:rsidRPr="00C961F2">
          <w:rPr>
            <w:rStyle w:val="Hyperlink"/>
            <w:webHidden/>
          </w:rPr>
          <w:fldChar w:fldCharType="end"/>
        </w:r>
      </w:hyperlink>
    </w:p>
    <w:p w14:paraId="62D7D7C8" w14:textId="412A9D7D" w:rsidR="00442B89" w:rsidRPr="000C57A9" w:rsidRDefault="00A82685" w:rsidP="000C57A9">
      <w:pPr>
        <w:pStyle w:val="TableofFigures"/>
        <w:tabs>
          <w:tab w:val="right" w:leader="dot" w:pos="9350"/>
        </w:tabs>
        <w:spacing w:line="276" w:lineRule="auto"/>
        <w:rPr>
          <w:noProof/>
        </w:rPr>
      </w:pPr>
      <w:r w:rsidRPr="00C961F2">
        <w:rPr>
          <w:rStyle w:val="Hyperlink"/>
          <w:noProof/>
        </w:rPr>
        <w:fldChar w:fldCharType="end"/>
      </w:r>
      <w:r w:rsidR="009C562A">
        <w:rPr>
          <w:rStyle w:val="Hyperlink"/>
          <w:noProof/>
        </w:rPr>
        <w:fldChar w:fldCharType="begin"/>
      </w:r>
      <w:r w:rsidR="009C562A">
        <w:rPr>
          <w:rStyle w:val="Hyperlink"/>
          <w:noProof/>
        </w:rPr>
        <w:instrText xml:space="preserve"> TOC \h \z \c "Figure 4.3.1." </w:instrText>
      </w:r>
      <w:r w:rsidR="009C562A">
        <w:rPr>
          <w:rStyle w:val="Hyperlink"/>
          <w:noProof/>
        </w:rPr>
        <w:fldChar w:fldCharType="separate"/>
      </w:r>
      <w:hyperlink w:anchor="_Toc213070089" w:history="1">
        <w:r w:rsidR="00442B89" w:rsidRPr="00F252CA">
          <w:rPr>
            <w:rStyle w:val="Hyperlink"/>
            <w:noProof/>
          </w:rPr>
          <w:t>Figure 4.3.1. 1 Shift Left Quality Engineering Lifecycle</w:t>
        </w:r>
        <w:r w:rsidR="00442B89">
          <w:rPr>
            <w:noProof/>
            <w:webHidden/>
          </w:rPr>
          <w:tab/>
        </w:r>
        <w:r w:rsidR="00442B89">
          <w:rPr>
            <w:noProof/>
            <w:webHidden/>
          </w:rPr>
          <w:fldChar w:fldCharType="begin"/>
        </w:r>
        <w:r w:rsidR="00442B89">
          <w:rPr>
            <w:noProof/>
            <w:webHidden/>
          </w:rPr>
          <w:instrText xml:space="preserve"> PAGEREF _Toc213070089 \h </w:instrText>
        </w:r>
        <w:r w:rsidR="00442B89">
          <w:rPr>
            <w:noProof/>
            <w:webHidden/>
          </w:rPr>
        </w:r>
        <w:r w:rsidR="00442B89">
          <w:rPr>
            <w:noProof/>
            <w:webHidden/>
          </w:rPr>
          <w:fldChar w:fldCharType="separate"/>
        </w:r>
        <w:r w:rsidR="00442B89">
          <w:rPr>
            <w:noProof/>
            <w:webHidden/>
          </w:rPr>
          <w:t>49</w:t>
        </w:r>
        <w:r w:rsidR="00442B89">
          <w:rPr>
            <w:noProof/>
            <w:webHidden/>
          </w:rPr>
          <w:fldChar w:fldCharType="end"/>
        </w:r>
      </w:hyperlink>
    </w:p>
    <w:p w14:paraId="0D7E0ED7" w14:textId="62F581A7" w:rsidR="00442B89" w:rsidRDefault="00442B89"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3070090" w:history="1">
        <w:r w:rsidRPr="00F252CA">
          <w:rPr>
            <w:rStyle w:val="Hyperlink"/>
            <w:noProof/>
          </w:rPr>
          <w:t>Figure 4.3.1. 2 Risk Heat Map</w:t>
        </w:r>
        <w:r>
          <w:rPr>
            <w:noProof/>
            <w:webHidden/>
          </w:rPr>
          <w:tab/>
        </w:r>
        <w:r>
          <w:rPr>
            <w:noProof/>
            <w:webHidden/>
          </w:rPr>
          <w:fldChar w:fldCharType="begin"/>
        </w:r>
        <w:r>
          <w:rPr>
            <w:noProof/>
            <w:webHidden/>
          </w:rPr>
          <w:instrText xml:space="preserve"> PAGEREF _Toc213070090 \h </w:instrText>
        </w:r>
        <w:r>
          <w:rPr>
            <w:noProof/>
            <w:webHidden/>
          </w:rPr>
        </w:r>
        <w:r>
          <w:rPr>
            <w:noProof/>
            <w:webHidden/>
          </w:rPr>
          <w:fldChar w:fldCharType="separate"/>
        </w:r>
        <w:r>
          <w:rPr>
            <w:noProof/>
            <w:webHidden/>
          </w:rPr>
          <w:t>50</w:t>
        </w:r>
        <w:r>
          <w:rPr>
            <w:noProof/>
            <w:webHidden/>
          </w:rPr>
          <w:fldChar w:fldCharType="end"/>
        </w:r>
      </w:hyperlink>
    </w:p>
    <w:p w14:paraId="380C1942" w14:textId="4AFC408F" w:rsidR="00442B89" w:rsidRDefault="00442B89"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3070091" w:history="1">
        <w:r w:rsidRPr="00F252CA">
          <w:rPr>
            <w:rStyle w:val="Hyperlink"/>
            <w:noProof/>
          </w:rPr>
          <w:t>Figure 4.3.1. 3 QMP Reviews with SDLC Phases</w:t>
        </w:r>
        <w:r>
          <w:rPr>
            <w:noProof/>
            <w:webHidden/>
          </w:rPr>
          <w:tab/>
        </w:r>
        <w:r>
          <w:rPr>
            <w:noProof/>
            <w:webHidden/>
          </w:rPr>
          <w:fldChar w:fldCharType="begin"/>
        </w:r>
        <w:r>
          <w:rPr>
            <w:noProof/>
            <w:webHidden/>
          </w:rPr>
          <w:instrText xml:space="preserve"> PAGEREF _Toc213070091 \h </w:instrText>
        </w:r>
        <w:r>
          <w:rPr>
            <w:noProof/>
            <w:webHidden/>
          </w:rPr>
        </w:r>
        <w:r>
          <w:rPr>
            <w:noProof/>
            <w:webHidden/>
          </w:rPr>
          <w:fldChar w:fldCharType="separate"/>
        </w:r>
        <w:r>
          <w:rPr>
            <w:noProof/>
            <w:webHidden/>
          </w:rPr>
          <w:t>51</w:t>
        </w:r>
        <w:r>
          <w:rPr>
            <w:noProof/>
            <w:webHidden/>
          </w:rPr>
          <w:fldChar w:fldCharType="end"/>
        </w:r>
      </w:hyperlink>
    </w:p>
    <w:p w14:paraId="4331D9EF" w14:textId="69FE1077" w:rsidR="00442B89" w:rsidRDefault="00442B89"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3070092" w:history="1">
        <w:r w:rsidRPr="00F252CA">
          <w:rPr>
            <w:rStyle w:val="Hyperlink"/>
            <w:noProof/>
          </w:rPr>
          <w:t>Figure 4.3.1. 4 Continuous Improvement Loop</w:t>
        </w:r>
        <w:r>
          <w:rPr>
            <w:noProof/>
            <w:webHidden/>
          </w:rPr>
          <w:tab/>
        </w:r>
        <w:r>
          <w:rPr>
            <w:noProof/>
            <w:webHidden/>
          </w:rPr>
          <w:fldChar w:fldCharType="begin"/>
        </w:r>
        <w:r>
          <w:rPr>
            <w:noProof/>
            <w:webHidden/>
          </w:rPr>
          <w:instrText xml:space="preserve"> PAGEREF _Toc213070092 \h </w:instrText>
        </w:r>
        <w:r>
          <w:rPr>
            <w:noProof/>
            <w:webHidden/>
          </w:rPr>
        </w:r>
        <w:r>
          <w:rPr>
            <w:noProof/>
            <w:webHidden/>
          </w:rPr>
          <w:fldChar w:fldCharType="separate"/>
        </w:r>
        <w:r>
          <w:rPr>
            <w:noProof/>
            <w:webHidden/>
          </w:rPr>
          <w:t>52</w:t>
        </w:r>
        <w:r>
          <w:rPr>
            <w:noProof/>
            <w:webHidden/>
          </w:rPr>
          <w:fldChar w:fldCharType="end"/>
        </w:r>
      </w:hyperlink>
    </w:p>
    <w:p w14:paraId="6A82814F" w14:textId="3FA74E1F" w:rsidR="00442B89" w:rsidRDefault="00442B89"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3070093" w:history="1">
        <w:r w:rsidRPr="00F252CA">
          <w:rPr>
            <w:rStyle w:val="Hyperlink"/>
            <w:noProof/>
          </w:rPr>
          <w:t>Figure 4.3.1. 5 Staffing Optimization Model</w:t>
        </w:r>
        <w:r>
          <w:rPr>
            <w:noProof/>
            <w:webHidden/>
          </w:rPr>
          <w:tab/>
        </w:r>
        <w:r>
          <w:rPr>
            <w:noProof/>
            <w:webHidden/>
          </w:rPr>
          <w:fldChar w:fldCharType="begin"/>
        </w:r>
        <w:r>
          <w:rPr>
            <w:noProof/>
            <w:webHidden/>
          </w:rPr>
          <w:instrText xml:space="preserve"> PAGEREF _Toc213070093 \h </w:instrText>
        </w:r>
        <w:r>
          <w:rPr>
            <w:noProof/>
            <w:webHidden/>
          </w:rPr>
        </w:r>
        <w:r>
          <w:rPr>
            <w:noProof/>
            <w:webHidden/>
          </w:rPr>
          <w:fldChar w:fldCharType="separate"/>
        </w:r>
        <w:r>
          <w:rPr>
            <w:noProof/>
            <w:webHidden/>
          </w:rPr>
          <w:t>53</w:t>
        </w:r>
        <w:r>
          <w:rPr>
            <w:noProof/>
            <w:webHidden/>
          </w:rPr>
          <w:fldChar w:fldCharType="end"/>
        </w:r>
      </w:hyperlink>
    </w:p>
    <w:p w14:paraId="2BA7AB96" w14:textId="3B128E4A" w:rsidR="00442B89" w:rsidRDefault="00442B89"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3070094" w:history="1">
        <w:r w:rsidRPr="00F252CA">
          <w:rPr>
            <w:rStyle w:val="Hyperlink"/>
            <w:noProof/>
          </w:rPr>
          <w:t>Figure 4.3.1. 6 Quality Dashboard Visualization</w:t>
        </w:r>
        <w:r>
          <w:rPr>
            <w:noProof/>
            <w:webHidden/>
          </w:rPr>
          <w:tab/>
        </w:r>
        <w:r>
          <w:rPr>
            <w:noProof/>
            <w:webHidden/>
          </w:rPr>
          <w:fldChar w:fldCharType="begin"/>
        </w:r>
        <w:r>
          <w:rPr>
            <w:noProof/>
            <w:webHidden/>
          </w:rPr>
          <w:instrText xml:space="preserve"> PAGEREF _Toc213070094 \h </w:instrText>
        </w:r>
        <w:r>
          <w:rPr>
            <w:noProof/>
            <w:webHidden/>
          </w:rPr>
        </w:r>
        <w:r>
          <w:rPr>
            <w:noProof/>
            <w:webHidden/>
          </w:rPr>
          <w:fldChar w:fldCharType="separate"/>
        </w:r>
        <w:r>
          <w:rPr>
            <w:noProof/>
            <w:webHidden/>
          </w:rPr>
          <w:t>53</w:t>
        </w:r>
        <w:r>
          <w:rPr>
            <w:noProof/>
            <w:webHidden/>
          </w:rPr>
          <w:fldChar w:fldCharType="end"/>
        </w:r>
      </w:hyperlink>
    </w:p>
    <w:p w14:paraId="7CCEC9CF" w14:textId="75B346A6" w:rsidR="003172FC" w:rsidRPr="000C57A9" w:rsidRDefault="009C562A" w:rsidP="000C57A9">
      <w:pPr>
        <w:pStyle w:val="TableofFigures"/>
        <w:tabs>
          <w:tab w:val="right" w:leader="dot" w:pos="9350"/>
        </w:tabs>
        <w:spacing w:line="276" w:lineRule="auto"/>
        <w:rPr>
          <w:noProof/>
        </w:rPr>
      </w:pPr>
      <w:r>
        <w:rPr>
          <w:rStyle w:val="Hyperlink"/>
          <w:noProof/>
        </w:rPr>
        <w:fldChar w:fldCharType="end"/>
      </w:r>
      <w:r w:rsidR="006E4378">
        <w:rPr>
          <w:rStyle w:val="Hyperlink"/>
          <w:noProof/>
        </w:rPr>
        <w:fldChar w:fldCharType="begin"/>
      </w:r>
      <w:r w:rsidR="006E4378">
        <w:rPr>
          <w:rStyle w:val="Hyperlink"/>
          <w:noProof/>
        </w:rPr>
        <w:instrText xml:space="preserve"> TOC \h \z \c "Figure 4.4.2." </w:instrText>
      </w:r>
      <w:r w:rsidR="006E4378">
        <w:rPr>
          <w:rStyle w:val="Hyperlink"/>
          <w:noProof/>
        </w:rPr>
        <w:fldChar w:fldCharType="separate"/>
      </w:r>
      <w:hyperlink w:anchor="_Toc213068738" w:history="1">
        <w:r w:rsidR="003172FC" w:rsidRPr="00987CD9">
          <w:rPr>
            <w:rStyle w:val="Hyperlink"/>
            <w:noProof/>
          </w:rPr>
          <w:t>Figure 4.4.2. 1 Continuous QA Value Increase Without Added Resources</w:t>
        </w:r>
        <w:r w:rsidR="003172FC">
          <w:rPr>
            <w:noProof/>
            <w:webHidden/>
          </w:rPr>
          <w:tab/>
        </w:r>
        <w:r w:rsidR="003172FC">
          <w:rPr>
            <w:noProof/>
            <w:webHidden/>
          </w:rPr>
          <w:fldChar w:fldCharType="begin"/>
        </w:r>
        <w:r w:rsidR="003172FC">
          <w:rPr>
            <w:noProof/>
            <w:webHidden/>
          </w:rPr>
          <w:instrText xml:space="preserve"> PAGEREF _Toc213068738 \h </w:instrText>
        </w:r>
        <w:r w:rsidR="003172FC">
          <w:rPr>
            <w:noProof/>
            <w:webHidden/>
          </w:rPr>
        </w:r>
        <w:r w:rsidR="003172FC">
          <w:rPr>
            <w:noProof/>
            <w:webHidden/>
          </w:rPr>
          <w:fldChar w:fldCharType="separate"/>
        </w:r>
        <w:r w:rsidR="003172FC">
          <w:rPr>
            <w:noProof/>
            <w:webHidden/>
          </w:rPr>
          <w:t>87</w:t>
        </w:r>
        <w:r w:rsidR="003172FC">
          <w:rPr>
            <w:noProof/>
            <w:webHidden/>
          </w:rPr>
          <w:fldChar w:fldCharType="end"/>
        </w:r>
      </w:hyperlink>
    </w:p>
    <w:p w14:paraId="24211784" w14:textId="20C75F9F" w:rsidR="003172FC" w:rsidRDefault="003172FC"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3068739" w:history="1">
        <w:r w:rsidRPr="00987CD9">
          <w:rPr>
            <w:rStyle w:val="Hyperlink"/>
            <w:noProof/>
          </w:rPr>
          <w:t>Figure 4.4.2. 2 Continuous Test Optimization Engine</w:t>
        </w:r>
        <w:r>
          <w:rPr>
            <w:noProof/>
            <w:webHidden/>
          </w:rPr>
          <w:tab/>
        </w:r>
        <w:r>
          <w:rPr>
            <w:noProof/>
            <w:webHidden/>
          </w:rPr>
          <w:fldChar w:fldCharType="begin"/>
        </w:r>
        <w:r>
          <w:rPr>
            <w:noProof/>
            <w:webHidden/>
          </w:rPr>
          <w:instrText xml:space="preserve"> PAGEREF _Toc213068739 \h </w:instrText>
        </w:r>
        <w:r>
          <w:rPr>
            <w:noProof/>
            <w:webHidden/>
          </w:rPr>
        </w:r>
        <w:r>
          <w:rPr>
            <w:noProof/>
            <w:webHidden/>
          </w:rPr>
          <w:fldChar w:fldCharType="separate"/>
        </w:r>
        <w:r>
          <w:rPr>
            <w:noProof/>
            <w:webHidden/>
          </w:rPr>
          <w:t>90</w:t>
        </w:r>
        <w:r>
          <w:rPr>
            <w:noProof/>
            <w:webHidden/>
          </w:rPr>
          <w:fldChar w:fldCharType="end"/>
        </w:r>
      </w:hyperlink>
    </w:p>
    <w:p w14:paraId="248FEC76" w14:textId="369AE396" w:rsidR="003172FC" w:rsidRDefault="003172FC"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3068740" w:history="1">
        <w:r w:rsidRPr="00987CD9">
          <w:rPr>
            <w:rStyle w:val="Hyperlink"/>
            <w:noProof/>
          </w:rPr>
          <w:t>Figure 4.4.2. 3 Cross-Vendor Continuous Improvement Cadence</w:t>
        </w:r>
        <w:r>
          <w:rPr>
            <w:noProof/>
            <w:webHidden/>
          </w:rPr>
          <w:tab/>
        </w:r>
        <w:r>
          <w:rPr>
            <w:noProof/>
            <w:webHidden/>
          </w:rPr>
          <w:fldChar w:fldCharType="begin"/>
        </w:r>
        <w:r>
          <w:rPr>
            <w:noProof/>
            <w:webHidden/>
          </w:rPr>
          <w:instrText xml:space="preserve"> PAGEREF _Toc213068740 \h </w:instrText>
        </w:r>
        <w:r>
          <w:rPr>
            <w:noProof/>
            <w:webHidden/>
          </w:rPr>
        </w:r>
        <w:r>
          <w:rPr>
            <w:noProof/>
            <w:webHidden/>
          </w:rPr>
          <w:fldChar w:fldCharType="separate"/>
        </w:r>
        <w:r>
          <w:rPr>
            <w:noProof/>
            <w:webHidden/>
          </w:rPr>
          <w:t>91</w:t>
        </w:r>
        <w:r>
          <w:rPr>
            <w:noProof/>
            <w:webHidden/>
          </w:rPr>
          <w:fldChar w:fldCharType="end"/>
        </w:r>
      </w:hyperlink>
    </w:p>
    <w:p w14:paraId="406F259C" w14:textId="493EA8B5" w:rsidR="003172FC" w:rsidRDefault="003172FC"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3068741" w:history="1">
        <w:r w:rsidRPr="00987CD9">
          <w:rPr>
            <w:rStyle w:val="Hyperlink"/>
            <w:noProof/>
          </w:rPr>
          <w:t>Figure 4.4.2. 4 Continuous QA Effective Loop</w:t>
        </w:r>
        <w:r>
          <w:rPr>
            <w:noProof/>
            <w:webHidden/>
          </w:rPr>
          <w:tab/>
        </w:r>
        <w:r>
          <w:rPr>
            <w:noProof/>
            <w:webHidden/>
          </w:rPr>
          <w:fldChar w:fldCharType="begin"/>
        </w:r>
        <w:r>
          <w:rPr>
            <w:noProof/>
            <w:webHidden/>
          </w:rPr>
          <w:instrText xml:space="preserve"> PAGEREF _Toc213068741 \h </w:instrText>
        </w:r>
        <w:r>
          <w:rPr>
            <w:noProof/>
            <w:webHidden/>
          </w:rPr>
        </w:r>
        <w:r>
          <w:rPr>
            <w:noProof/>
            <w:webHidden/>
          </w:rPr>
          <w:fldChar w:fldCharType="separate"/>
        </w:r>
        <w:r>
          <w:rPr>
            <w:noProof/>
            <w:webHidden/>
          </w:rPr>
          <w:t>92</w:t>
        </w:r>
        <w:r>
          <w:rPr>
            <w:noProof/>
            <w:webHidden/>
          </w:rPr>
          <w:fldChar w:fldCharType="end"/>
        </w:r>
      </w:hyperlink>
    </w:p>
    <w:p w14:paraId="0302BB1A" w14:textId="06FDD1AF" w:rsidR="003172FC" w:rsidRDefault="003172FC"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3068742" w:history="1">
        <w:r w:rsidRPr="00987CD9">
          <w:rPr>
            <w:rStyle w:val="Hyperlink"/>
            <w:noProof/>
          </w:rPr>
          <w:t>Figure 4.4.2. 5 Automation Pipeline with IQP Plus</w:t>
        </w:r>
        <w:r>
          <w:rPr>
            <w:noProof/>
            <w:webHidden/>
          </w:rPr>
          <w:tab/>
        </w:r>
        <w:r>
          <w:rPr>
            <w:noProof/>
            <w:webHidden/>
          </w:rPr>
          <w:fldChar w:fldCharType="begin"/>
        </w:r>
        <w:r>
          <w:rPr>
            <w:noProof/>
            <w:webHidden/>
          </w:rPr>
          <w:instrText xml:space="preserve"> PAGEREF _Toc213068742 \h </w:instrText>
        </w:r>
        <w:r>
          <w:rPr>
            <w:noProof/>
            <w:webHidden/>
          </w:rPr>
        </w:r>
        <w:r>
          <w:rPr>
            <w:noProof/>
            <w:webHidden/>
          </w:rPr>
          <w:fldChar w:fldCharType="separate"/>
        </w:r>
        <w:r>
          <w:rPr>
            <w:noProof/>
            <w:webHidden/>
          </w:rPr>
          <w:t>94</w:t>
        </w:r>
        <w:r>
          <w:rPr>
            <w:noProof/>
            <w:webHidden/>
          </w:rPr>
          <w:fldChar w:fldCharType="end"/>
        </w:r>
      </w:hyperlink>
    </w:p>
    <w:p w14:paraId="1AD0775D" w14:textId="0E72BC59" w:rsidR="003172FC" w:rsidRDefault="003172FC"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3068743" w:history="1">
        <w:r w:rsidRPr="00987CD9">
          <w:rPr>
            <w:rStyle w:val="Hyperlink"/>
            <w:noProof/>
          </w:rPr>
          <w:t>Figure 4.4.2. 6 QA Maturity Progression Chart</w:t>
        </w:r>
        <w:r>
          <w:rPr>
            <w:noProof/>
            <w:webHidden/>
          </w:rPr>
          <w:tab/>
        </w:r>
        <w:r>
          <w:rPr>
            <w:noProof/>
            <w:webHidden/>
          </w:rPr>
          <w:fldChar w:fldCharType="begin"/>
        </w:r>
        <w:r>
          <w:rPr>
            <w:noProof/>
            <w:webHidden/>
          </w:rPr>
          <w:instrText xml:space="preserve"> PAGEREF _Toc213068743 \h </w:instrText>
        </w:r>
        <w:r>
          <w:rPr>
            <w:noProof/>
            <w:webHidden/>
          </w:rPr>
        </w:r>
        <w:r>
          <w:rPr>
            <w:noProof/>
            <w:webHidden/>
          </w:rPr>
          <w:fldChar w:fldCharType="separate"/>
        </w:r>
        <w:r>
          <w:rPr>
            <w:noProof/>
            <w:webHidden/>
          </w:rPr>
          <w:t>95</w:t>
        </w:r>
        <w:r>
          <w:rPr>
            <w:noProof/>
            <w:webHidden/>
          </w:rPr>
          <w:fldChar w:fldCharType="end"/>
        </w:r>
      </w:hyperlink>
    </w:p>
    <w:p w14:paraId="4A7FF6FD" w14:textId="21713C87" w:rsidR="003172FC" w:rsidRDefault="003172FC" w:rsidP="000C57A9">
      <w:pPr>
        <w:pStyle w:val="TableofFigures"/>
        <w:tabs>
          <w:tab w:val="right" w:leader="dot" w:pos="9350"/>
        </w:tabs>
        <w:spacing w:line="276" w:lineRule="auto"/>
        <w:rPr>
          <w:rFonts w:asciiTheme="minorHAnsi" w:eastAsiaTheme="minorEastAsia" w:hAnsiTheme="minorHAnsi" w:cstheme="minorBidi"/>
          <w:noProof/>
          <w:color w:val="auto"/>
          <w:kern w:val="2"/>
          <w:sz w:val="24"/>
          <w:szCs w:val="24"/>
          <w:lang w:eastAsia="ko-KR"/>
          <w14:ligatures w14:val="standardContextual"/>
        </w:rPr>
      </w:pPr>
      <w:hyperlink w:anchor="_Toc213068744" w:history="1">
        <w:r w:rsidRPr="00987CD9">
          <w:rPr>
            <w:rStyle w:val="Hyperlink"/>
            <w:noProof/>
          </w:rPr>
          <w:t>Figure 4.4.2. 7 Continuous QA Governance Dashboard</w:t>
        </w:r>
        <w:r>
          <w:rPr>
            <w:noProof/>
            <w:webHidden/>
          </w:rPr>
          <w:tab/>
        </w:r>
        <w:r>
          <w:rPr>
            <w:noProof/>
            <w:webHidden/>
          </w:rPr>
          <w:fldChar w:fldCharType="begin"/>
        </w:r>
        <w:r>
          <w:rPr>
            <w:noProof/>
            <w:webHidden/>
          </w:rPr>
          <w:instrText xml:space="preserve"> PAGEREF _Toc213068744 \h </w:instrText>
        </w:r>
        <w:r>
          <w:rPr>
            <w:noProof/>
            <w:webHidden/>
          </w:rPr>
        </w:r>
        <w:r>
          <w:rPr>
            <w:noProof/>
            <w:webHidden/>
          </w:rPr>
          <w:fldChar w:fldCharType="separate"/>
        </w:r>
        <w:r>
          <w:rPr>
            <w:noProof/>
            <w:webHidden/>
          </w:rPr>
          <w:t>97</w:t>
        </w:r>
        <w:r>
          <w:rPr>
            <w:noProof/>
            <w:webHidden/>
          </w:rPr>
          <w:fldChar w:fldCharType="end"/>
        </w:r>
      </w:hyperlink>
    </w:p>
    <w:p w14:paraId="7B4580C2" w14:textId="064AB97D" w:rsidR="00C13D12" w:rsidRDefault="006E4378" w:rsidP="000C57A9">
      <w:pPr>
        <w:pStyle w:val="TableofFigures"/>
        <w:tabs>
          <w:tab w:val="right" w:leader="dot" w:pos="9350"/>
        </w:tabs>
        <w:spacing w:line="276" w:lineRule="auto"/>
      </w:pPr>
      <w:r>
        <w:rPr>
          <w:rStyle w:val="Hyperlink"/>
          <w:noProof/>
        </w:rPr>
        <w:fldChar w:fldCharType="end"/>
      </w:r>
    </w:p>
    <w:p w14:paraId="71429AF9" w14:textId="47F7B982" w:rsidR="00771C59" w:rsidRDefault="00771C59" w:rsidP="000C57A9">
      <w:pPr>
        <w:pStyle w:val="CS-IBMTOCforTOCTitleonly"/>
        <w:jc w:val="left"/>
        <w:rPr>
          <w:rFonts w:ascii="Century Gothic" w:hAnsi="Century Gothic"/>
        </w:rPr>
      </w:pPr>
      <w:r w:rsidRPr="006A4B60">
        <w:rPr>
          <w:rFonts w:ascii="Century Gothic" w:hAnsi="Century Gothic"/>
        </w:rPr>
        <w:lastRenderedPageBreak/>
        <w:t xml:space="preserve">Table of </w:t>
      </w:r>
      <w:r>
        <w:rPr>
          <w:rFonts w:ascii="Century Gothic" w:hAnsi="Century Gothic"/>
        </w:rPr>
        <w:t>Tables</w:t>
      </w:r>
    </w:p>
    <w:p w14:paraId="05F0E3E6" w14:textId="12439D2E" w:rsidR="002618B5" w:rsidRDefault="00A9029D">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r w:rsidRPr="00DE7141">
        <w:rPr>
          <w:rStyle w:val="Hyperlink"/>
          <w:noProof/>
        </w:rPr>
        <w:fldChar w:fldCharType="begin"/>
      </w:r>
      <w:r w:rsidRPr="00DE7141">
        <w:rPr>
          <w:rStyle w:val="Hyperlink"/>
          <w:noProof/>
        </w:rPr>
        <w:instrText xml:space="preserve"> TOC \h \z \c "Table 4.1.1." </w:instrText>
      </w:r>
      <w:r w:rsidRPr="00DE7141">
        <w:rPr>
          <w:rStyle w:val="Hyperlink"/>
          <w:noProof/>
        </w:rPr>
        <w:fldChar w:fldCharType="separate"/>
      </w:r>
      <w:hyperlink w:anchor="_Toc213069334" w:history="1">
        <w:r w:rsidR="002618B5" w:rsidRPr="007B57CC">
          <w:rPr>
            <w:rStyle w:val="Hyperlink"/>
            <w:noProof/>
          </w:rPr>
          <w:t>Table 4.1.1. 1 CAMMIS 13-Week Staffing Model</w:t>
        </w:r>
        <w:r w:rsidR="002618B5">
          <w:rPr>
            <w:noProof/>
            <w:webHidden/>
          </w:rPr>
          <w:tab/>
        </w:r>
        <w:r w:rsidR="002618B5">
          <w:rPr>
            <w:noProof/>
            <w:webHidden/>
          </w:rPr>
          <w:fldChar w:fldCharType="begin"/>
        </w:r>
        <w:r w:rsidR="002618B5">
          <w:rPr>
            <w:noProof/>
            <w:webHidden/>
          </w:rPr>
          <w:instrText xml:space="preserve"> PAGEREF _Toc213069334 \h </w:instrText>
        </w:r>
        <w:r w:rsidR="002618B5">
          <w:rPr>
            <w:noProof/>
            <w:webHidden/>
          </w:rPr>
        </w:r>
        <w:r w:rsidR="002618B5">
          <w:rPr>
            <w:noProof/>
            <w:webHidden/>
          </w:rPr>
          <w:fldChar w:fldCharType="separate"/>
        </w:r>
        <w:r w:rsidR="002618B5">
          <w:rPr>
            <w:noProof/>
            <w:webHidden/>
          </w:rPr>
          <w:t>5</w:t>
        </w:r>
        <w:r w:rsidR="002618B5">
          <w:rPr>
            <w:noProof/>
            <w:webHidden/>
          </w:rPr>
          <w:fldChar w:fldCharType="end"/>
        </w:r>
      </w:hyperlink>
    </w:p>
    <w:p w14:paraId="05639286" w14:textId="42C0D212" w:rsidR="002618B5" w:rsidRDefault="002618B5">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9335" w:history="1">
        <w:r w:rsidRPr="007B57CC">
          <w:rPr>
            <w:rStyle w:val="Hyperlink"/>
            <w:noProof/>
          </w:rPr>
          <w:t>Table 4.1.1. 2 Arizona DES Metrics</w:t>
        </w:r>
        <w:r>
          <w:rPr>
            <w:noProof/>
            <w:webHidden/>
          </w:rPr>
          <w:tab/>
        </w:r>
        <w:r>
          <w:rPr>
            <w:noProof/>
            <w:webHidden/>
          </w:rPr>
          <w:fldChar w:fldCharType="begin"/>
        </w:r>
        <w:r>
          <w:rPr>
            <w:noProof/>
            <w:webHidden/>
          </w:rPr>
          <w:instrText xml:space="preserve"> PAGEREF _Toc213069335 \h </w:instrText>
        </w:r>
        <w:r>
          <w:rPr>
            <w:noProof/>
            <w:webHidden/>
          </w:rPr>
        </w:r>
        <w:r>
          <w:rPr>
            <w:noProof/>
            <w:webHidden/>
          </w:rPr>
          <w:fldChar w:fldCharType="separate"/>
        </w:r>
        <w:r>
          <w:rPr>
            <w:noProof/>
            <w:webHidden/>
          </w:rPr>
          <w:t>8</w:t>
        </w:r>
        <w:r>
          <w:rPr>
            <w:noProof/>
            <w:webHidden/>
          </w:rPr>
          <w:fldChar w:fldCharType="end"/>
        </w:r>
      </w:hyperlink>
    </w:p>
    <w:p w14:paraId="1E8A4A45" w14:textId="2BF77D63" w:rsidR="002618B5" w:rsidRPr="000C57A9" w:rsidRDefault="00A9029D">
      <w:pPr>
        <w:pStyle w:val="TableofFigures"/>
        <w:tabs>
          <w:tab w:val="right" w:leader="dot" w:pos="9350"/>
        </w:tabs>
        <w:rPr>
          <w:noProof/>
        </w:rPr>
      </w:pPr>
      <w:r w:rsidRPr="00DE7141">
        <w:rPr>
          <w:rStyle w:val="Hyperlink"/>
          <w:noProof/>
        </w:rPr>
        <w:fldChar w:fldCharType="end"/>
      </w:r>
      <w:r w:rsidRPr="00DE7141">
        <w:rPr>
          <w:rStyle w:val="Hyperlink"/>
          <w:noProof/>
        </w:rPr>
        <w:fldChar w:fldCharType="begin"/>
      </w:r>
      <w:r w:rsidRPr="00DE7141">
        <w:rPr>
          <w:rStyle w:val="Hyperlink"/>
          <w:noProof/>
        </w:rPr>
        <w:instrText xml:space="preserve"> TOC \h \z \c "Table 4.1.2." </w:instrText>
      </w:r>
      <w:r w:rsidRPr="00DE7141">
        <w:rPr>
          <w:rStyle w:val="Hyperlink"/>
          <w:noProof/>
        </w:rPr>
        <w:fldChar w:fldCharType="separate"/>
      </w:r>
      <w:hyperlink w:anchor="_Toc213069325" w:history="1">
        <w:r w:rsidR="002618B5" w:rsidRPr="00D22231">
          <w:rPr>
            <w:rStyle w:val="Hyperlink"/>
            <w:noProof/>
          </w:rPr>
          <w:t>Table 4.1.2. 1 Flexible and Capable Key Staff and Functional teams for CalSAWS system changes</w:t>
        </w:r>
        <w:r w:rsidR="002618B5">
          <w:rPr>
            <w:noProof/>
            <w:webHidden/>
          </w:rPr>
          <w:tab/>
        </w:r>
        <w:r w:rsidR="002618B5">
          <w:rPr>
            <w:noProof/>
            <w:webHidden/>
          </w:rPr>
          <w:fldChar w:fldCharType="begin"/>
        </w:r>
        <w:r w:rsidR="002618B5">
          <w:rPr>
            <w:noProof/>
            <w:webHidden/>
          </w:rPr>
          <w:instrText xml:space="preserve"> PAGEREF _Toc213069325 \h </w:instrText>
        </w:r>
        <w:r w:rsidR="002618B5">
          <w:rPr>
            <w:noProof/>
            <w:webHidden/>
          </w:rPr>
        </w:r>
        <w:r w:rsidR="002618B5">
          <w:rPr>
            <w:noProof/>
            <w:webHidden/>
          </w:rPr>
          <w:fldChar w:fldCharType="separate"/>
        </w:r>
        <w:r w:rsidR="002618B5">
          <w:rPr>
            <w:noProof/>
            <w:webHidden/>
          </w:rPr>
          <w:t>13</w:t>
        </w:r>
        <w:r w:rsidR="002618B5">
          <w:rPr>
            <w:noProof/>
            <w:webHidden/>
          </w:rPr>
          <w:fldChar w:fldCharType="end"/>
        </w:r>
      </w:hyperlink>
    </w:p>
    <w:p w14:paraId="4C75B193" w14:textId="4A3FABFD" w:rsidR="000A7564" w:rsidRPr="000C57A9" w:rsidRDefault="002618B5" w:rsidP="000C57A9">
      <w:pPr>
        <w:pStyle w:val="TableofFigures"/>
        <w:tabs>
          <w:tab w:val="right" w:leader="dot" w:pos="9350"/>
        </w:tabs>
        <w:rPr>
          <w:noProof/>
          <w:color w:val="000000" w:themeColor="text1"/>
        </w:rPr>
      </w:pPr>
      <w:hyperlink w:anchor="_Toc213069326" w:history="1">
        <w:r w:rsidRPr="00D22231">
          <w:rPr>
            <w:rStyle w:val="Hyperlink"/>
            <w:noProof/>
          </w:rPr>
          <w:t>Table 4.1.2.  Florida DCF Metrics and Tangible Outcomes</w:t>
        </w:r>
        <w:r>
          <w:rPr>
            <w:noProof/>
            <w:webHidden/>
          </w:rPr>
          <w:tab/>
        </w:r>
        <w:r>
          <w:rPr>
            <w:noProof/>
            <w:webHidden/>
          </w:rPr>
          <w:fldChar w:fldCharType="begin"/>
        </w:r>
        <w:r>
          <w:rPr>
            <w:noProof/>
            <w:webHidden/>
          </w:rPr>
          <w:instrText xml:space="preserve"> PAGEREF _Toc213069326 \h </w:instrText>
        </w:r>
        <w:r>
          <w:rPr>
            <w:noProof/>
            <w:webHidden/>
          </w:rPr>
        </w:r>
        <w:r>
          <w:rPr>
            <w:noProof/>
            <w:webHidden/>
          </w:rPr>
          <w:fldChar w:fldCharType="separate"/>
        </w:r>
        <w:r>
          <w:rPr>
            <w:noProof/>
            <w:webHidden/>
          </w:rPr>
          <w:t>18</w:t>
        </w:r>
        <w:r>
          <w:rPr>
            <w:noProof/>
            <w:webHidden/>
          </w:rPr>
          <w:fldChar w:fldCharType="end"/>
        </w:r>
      </w:hyperlink>
    </w:p>
    <w:p w14:paraId="29352B3E" w14:textId="16DA2BD7" w:rsidR="000A7564" w:rsidRPr="000C57A9" w:rsidRDefault="00A9029D">
      <w:pPr>
        <w:pStyle w:val="TableofFigures"/>
        <w:tabs>
          <w:tab w:val="right" w:leader="dot" w:pos="9350"/>
        </w:tabs>
        <w:rPr>
          <w:noProof/>
        </w:rPr>
      </w:pPr>
      <w:r w:rsidRPr="00DE7141">
        <w:rPr>
          <w:rStyle w:val="Hyperlink"/>
          <w:noProof/>
        </w:rPr>
        <w:fldChar w:fldCharType="end"/>
      </w:r>
      <w:r w:rsidR="000A7564">
        <w:rPr>
          <w:rStyle w:val="Hyperlink"/>
          <w:noProof/>
        </w:rPr>
        <w:fldChar w:fldCharType="begin"/>
      </w:r>
      <w:r w:rsidR="000A7564">
        <w:rPr>
          <w:rStyle w:val="Hyperlink"/>
          <w:noProof/>
        </w:rPr>
        <w:instrText xml:space="preserve"> TOC \h \z \c "Table 4.2.1." </w:instrText>
      </w:r>
      <w:r w:rsidR="000A7564">
        <w:rPr>
          <w:rStyle w:val="Hyperlink"/>
          <w:noProof/>
        </w:rPr>
        <w:fldChar w:fldCharType="separate"/>
      </w:r>
      <w:hyperlink w:anchor="_Toc213069365" w:history="1">
        <w:r w:rsidR="000A7564" w:rsidRPr="00706931">
          <w:rPr>
            <w:rStyle w:val="Hyperlink"/>
            <w:noProof/>
          </w:rPr>
          <w:t>Table 4.2.1. 1 Example: Defect Management RACI</w:t>
        </w:r>
        <w:r w:rsidR="000A7564">
          <w:rPr>
            <w:noProof/>
            <w:webHidden/>
          </w:rPr>
          <w:tab/>
        </w:r>
        <w:r w:rsidR="000A7564">
          <w:rPr>
            <w:noProof/>
            <w:webHidden/>
          </w:rPr>
          <w:fldChar w:fldCharType="begin"/>
        </w:r>
        <w:r w:rsidR="000A7564">
          <w:rPr>
            <w:noProof/>
            <w:webHidden/>
          </w:rPr>
          <w:instrText xml:space="preserve"> PAGEREF _Toc213069365 \h </w:instrText>
        </w:r>
        <w:r w:rsidR="000A7564">
          <w:rPr>
            <w:noProof/>
            <w:webHidden/>
          </w:rPr>
        </w:r>
        <w:r w:rsidR="000A7564">
          <w:rPr>
            <w:noProof/>
            <w:webHidden/>
          </w:rPr>
          <w:fldChar w:fldCharType="separate"/>
        </w:r>
        <w:r w:rsidR="000A7564">
          <w:rPr>
            <w:noProof/>
            <w:webHidden/>
          </w:rPr>
          <w:t>21</w:t>
        </w:r>
        <w:r w:rsidR="000A7564">
          <w:rPr>
            <w:noProof/>
            <w:webHidden/>
          </w:rPr>
          <w:fldChar w:fldCharType="end"/>
        </w:r>
      </w:hyperlink>
    </w:p>
    <w:p w14:paraId="77C8C528" w14:textId="44592C4C" w:rsidR="000A7564" w:rsidRDefault="000A7564">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9366" w:history="1">
        <w:r w:rsidRPr="00706931">
          <w:rPr>
            <w:rStyle w:val="Hyperlink"/>
            <w:noProof/>
          </w:rPr>
          <w:t>Table 4.2.1. 2 Proposed Collaboration Cadence (taiored to PMO structure)</w:t>
        </w:r>
        <w:r>
          <w:rPr>
            <w:noProof/>
            <w:webHidden/>
          </w:rPr>
          <w:tab/>
        </w:r>
        <w:r>
          <w:rPr>
            <w:noProof/>
            <w:webHidden/>
          </w:rPr>
          <w:fldChar w:fldCharType="begin"/>
        </w:r>
        <w:r>
          <w:rPr>
            <w:noProof/>
            <w:webHidden/>
          </w:rPr>
          <w:instrText xml:space="preserve"> PAGEREF _Toc213069366 \h </w:instrText>
        </w:r>
        <w:r>
          <w:rPr>
            <w:noProof/>
            <w:webHidden/>
          </w:rPr>
        </w:r>
        <w:r>
          <w:rPr>
            <w:noProof/>
            <w:webHidden/>
          </w:rPr>
          <w:fldChar w:fldCharType="separate"/>
        </w:r>
        <w:r>
          <w:rPr>
            <w:noProof/>
            <w:webHidden/>
          </w:rPr>
          <w:t>22</w:t>
        </w:r>
        <w:r>
          <w:rPr>
            <w:noProof/>
            <w:webHidden/>
          </w:rPr>
          <w:fldChar w:fldCharType="end"/>
        </w:r>
      </w:hyperlink>
    </w:p>
    <w:p w14:paraId="6C40955A" w14:textId="61DE06E7" w:rsidR="000A7564" w:rsidRDefault="000A7564">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9367" w:history="1">
        <w:r w:rsidRPr="00706931">
          <w:rPr>
            <w:rStyle w:val="Hyperlink"/>
            <w:noProof/>
          </w:rPr>
          <w:t>Table 4.2.1. 3 The framework assesses seven key dimensions of project and quality health</w:t>
        </w:r>
        <w:r>
          <w:rPr>
            <w:noProof/>
            <w:webHidden/>
          </w:rPr>
          <w:tab/>
        </w:r>
        <w:r>
          <w:rPr>
            <w:noProof/>
            <w:webHidden/>
          </w:rPr>
          <w:fldChar w:fldCharType="begin"/>
        </w:r>
        <w:r>
          <w:rPr>
            <w:noProof/>
            <w:webHidden/>
          </w:rPr>
          <w:instrText xml:space="preserve"> PAGEREF _Toc213069367 \h </w:instrText>
        </w:r>
        <w:r>
          <w:rPr>
            <w:noProof/>
            <w:webHidden/>
          </w:rPr>
        </w:r>
        <w:r>
          <w:rPr>
            <w:noProof/>
            <w:webHidden/>
          </w:rPr>
          <w:fldChar w:fldCharType="separate"/>
        </w:r>
        <w:r>
          <w:rPr>
            <w:noProof/>
            <w:webHidden/>
          </w:rPr>
          <w:t>28</w:t>
        </w:r>
        <w:r>
          <w:rPr>
            <w:noProof/>
            <w:webHidden/>
          </w:rPr>
          <w:fldChar w:fldCharType="end"/>
        </w:r>
      </w:hyperlink>
    </w:p>
    <w:p w14:paraId="04AE8746" w14:textId="4370EE09" w:rsidR="000A7564" w:rsidRDefault="000A7564">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9368" w:history="1">
        <w:r w:rsidRPr="00706931">
          <w:rPr>
            <w:rStyle w:val="Hyperlink"/>
            <w:noProof/>
          </w:rPr>
          <w:t>Table 4.2.1. 4 Quality Index Dashboard (D-QA-04)</w:t>
        </w:r>
        <w:r>
          <w:rPr>
            <w:noProof/>
            <w:webHidden/>
          </w:rPr>
          <w:tab/>
        </w:r>
        <w:r>
          <w:rPr>
            <w:noProof/>
            <w:webHidden/>
          </w:rPr>
          <w:fldChar w:fldCharType="begin"/>
        </w:r>
        <w:r>
          <w:rPr>
            <w:noProof/>
            <w:webHidden/>
          </w:rPr>
          <w:instrText xml:space="preserve"> PAGEREF _Toc213069368 \h </w:instrText>
        </w:r>
        <w:r>
          <w:rPr>
            <w:noProof/>
            <w:webHidden/>
          </w:rPr>
        </w:r>
        <w:r>
          <w:rPr>
            <w:noProof/>
            <w:webHidden/>
          </w:rPr>
          <w:fldChar w:fldCharType="separate"/>
        </w:r>
        <w:r>
          <w:rPr>
            <w:noProof/>
            <w:webHidden/>
          </w:rPr>
          <w:t>31</w:t>
        </w:r>
        <w:r>
          <w:rPr>
            <w:noProof/>
            <w:webHidden/>
          </w:rPr>
          <w:fldChar w:fldCharType="end"/>
        </w:r>
      </w:hyperlink>
    </w:p>
    <w:p w14:paraId="69EDDE7D" w14:textId="0FA9C433" w:rsidR="000A7564" w:rsidRPr="000C57A9" w:rsidRDefault="000A7564">
      <w:pPr>
        <w:pStyle w:val="TableofFigures"/>
        <w:tabs>
          <w:tab w:val="right" w:leader="dot" w:pos="9350"/>
        </w:tabs>
        <w:rPr>
          <w:noProof/>
        </w:rPr>
      </w:pPr>
      <w:r>
        <w:rPr>
          <w:rStyle w:val="Hyperlink"/>
          <w:noProof/>
        </w:rPr>
        <w:fldChar w:fldCharType="end"/>
      </w:r>
      <w:r>
        <w:rPr>
          <w:rStyle w:val="Hyperlink"/>
          <w:noProof/>
        </w:rPr>
        <w:fldChar w:fldCharType="begin"/>
      </w:r>
      <w:r>
        <w:rPr>
          <w:rStyle w:val="Hyperlink"/>
          <w:noProof/>
        </w:rPr>
        <w:instrText xml:space="preserve"> TOC \h \z \c "Table 4.2.2." </w:instrText>
      </w:r>
      <w:r>
        <w:rPr>
          <w:rStyle w:val="Hyperlink"/>
          <w:noProof/>
        </w:rPr>
        <w:fldChar w:fldCharType="separate"/>
      </w:r>
      <w:hyperlink w:anchor="_Toc213069371" w:history="1">
        <w:r w:rsidRPr="005A28AE">
          <w:rPr>
            <w:rStyle w:val="Hyperlink"/>
            <w:noProof/>
          </w:rPr>
          <w:t>Table 4.2.2. 1 Governance Roles and Review Cadence</w:t>
        </w:r>
        <w:r>
          <w:rPr>
            <w:noProof/>
            <w:webHidden/>
          </w:rPr>
          <w:tab/>
        </w:r>
        <w:r>
          <w:rPr>
            <w:noProof/>
            <w:webHidden/>
          </w:rPr>
          <w:fldChar w:fldCharType="begin"/>
        </w:r>
        <w:r>
          <w:rPr>
            <w:noProof/>
            <w:webHidden/>
          </w:rPr>
          <w:instrText xml:space="preserve"> PAGEREF _Toc213069371 \h </w:instrText>
        </w:r>
        <w:r>
          <w:rPr>
            <w:noProof/>
            <w:webHidden/>
          </w:rPr>
        </w:r>
        <w:r>
          <w:rPr>
            <w:noProof/>
            <w:webHidden/>
          </w:rPr>
          <w:fldChar w:fldCharType="separate"/>
        </w:r>
        <w:r>
          <w:rPr>
            <w:noProof/>
            <w:webHidden/>
          </w:rPr>
          <w:t>37</w:t>
        </w:r>
        <w:r>
          <w:rPr>
            <w:noProof/>
            <w:webHidden/>
          </w:rPr>
          <w:fldChar w:fldCharType="end"/>
        </w:r>
      </w:hyperlink>
    </w:p>
    <w:p w14:paraId="657D60F0" w14:textId="572ACC88" w:rsidR="000A7564" w:rsidRDefault="000A7564">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9372" w:history="1">
        <w:r w:rsidRPr="005A28AE">
          <w:rPr>
            <w:rStyle w:val="Hyperlink"/>
            <w:noProof/>
          </w:rPr>
          <w:t>Table 4.2.2. 2 Metrics and Continuous Improvement</w:t>
        </w:r>
        <w:r>
          <w:rPr>
            <w:noProof/>
            <w:webHidden/>
          </w:rPr>
          <w:tab/>
        </w:r>
        <w:r>
          <w:rPr>
            <w:noProof/>
            <w:webHidden/>
          </w:rPr>
          <w:fldChar w:fldCharType="begin"/>
        </w:r>
        <w:r>
          <w:rPr>
            <w:noProof/>
            <w:webHidden/>
          </w:rPr>
          <w:instrText xml:space="preserve"> PAGEREF _Toc213069372 \h </w:instrText>
        </w:r>
        <w:r>
          <w:rPr>
            <w:noProof/>
            <w:webHidden/>
          </w:rPr>
        </w:r>
        <w:r>
          <w:rPr>
            <w:noProof/>
            <w:webHidden/>
          </w:rPr>
          <w:fldChar w:fldCharType="separate"/>
        </w:r>
        <w:r>
          <w:rPr>
            <w:noProof/>
            <w:webHidden/>
          </w:rPr>
          <w:t>40</w:t>
        </w:r>
        <w:r>
          <w:rPr>
            <w:noProof/>
            <w:webHidden/>
          </w:rPr>
          <w:fldChar w:fldCharType="end"/>
        </w:r>
      </w:hyperlink>
    </w:p>
    <w:p w14:paraId="29EE20C4" w14:textId="6BD3D283" w:rsidR="0091462C" w:rsidRPr="000C57A9" w:rsidRDefault="000A7564">
      <w:pPr>
        <w:pStyle w:val="TableofFigures"/>
        <w:tabs>
          <w:tab w:val="right" w:leader="dot" w:pos="9350"/>
        </w:tabs>
        <w:rPr>
          <w:noProof/>
          <w:color w:val="000000" w:themeColor="text1"/>
        </w:rPr>
      </w:pPr>
      <w:r>
        <w:rPr>
          <w:rStyle w:val="Hyperlink"/>
          <w:noProof/>
        </w:rPr>
        <w:fldChar w:fldCharType="end"/>
      </w:r>
      <w:r w:rsidR="00DF33F9" w:rsidRPr="00DE7141">
        <w:rPr>
          <w:rStyle w:val="Hyperlink"/>
          <w:noProof/>
        </w:rPr>
        <w:fldChar w:fldCharType="begin"/>
      </w:r>
      <w:r w:rsidR="00DF33F9" w:rsidRPr="00DE7141">
        <w:rPr>
          <w:rStyle w:val="Hyperlink"/>
          <w:noProof/>
        </w:rPr>
        <w:instrText xml:space="preserve"> TOC \h \z \c "Table" </w:instrText>
      </w:r>
      <w:r w:rsidR="00DF33F9" w:rsidRPr="00DE7141">
        <w:rPr>
          <w:rStyle w:val="Hyperlink"/>
          <w:noProof/>
        </w:rPr>
        <w:fldChar w:fldCharType="separate"/>
      </w:r>
      <w:hyperlink w:anchor="_Toc213069564" w:history="1">
        <w:r w:rsidR="0091462C" w:rsidRPr="00501F68">
          <w:rPr>
            <w:rStyle w:val="Hyperlink"/>
            <w:i/>
            <w:iCs/>
            <w:noProof/>
          </w:rPr>
          <w:t>Table 4.2.3.1: QA Organization and Roles Supporting Communications</w:t>
        </w:r>
        <w:r w:rsidR="0091462C">
          <w:rPr>
            <w:noProof/>
            <w:webHidden/>
          </w:rPr>
          <w:tab/>
        </w:r>
        <w:r w:rsidR="0091462C">
          <w:rPr>
            <w:noProof/>
            <w:webHidden/>
          </w:rPr>
          <w:fldChar w:fldCharType="begin"/>
        </w:r>
        <w:r w:rsidR="0091462C">
          <w:rPr>
            <w:noProof/>
            <w:webHidden/>
          </w:rPr>
          <w:instrText xml:space="preserve"> PAGEREF _Toc213069564 \h </w:instrText>
        </w:r>
        <w:r w:rsidR="0091462C">
          <w:rPr>
            <w:noProof/>
            <w:webHidden/>
          </w:rPr>
        </w:r>
        <w:r w:rsidR="0091462C">
          <w:rPr>
            <w:noProof/>
            <w:webHidden/>
          </w:rPr>
          <w:fldChar w:fldCharType="separate"/>
        </w:r>
        <w:r w:rsidR="0091462C">
          <w:rPr>
            <w:noProof/>
            <w:webHidden/>
          </w:rPr>
          <w:t>43</w:t>
        </w:r>
        <w:r w:rsidR="0091462C">
          <w:rPr>
            <w:noProof/>
            <w:webHidden/>
          </w:rPr>
          <w:fldChar w:fldCharType="end"/>
        </w:r>
      </w:hyperlink>
    </w:p>
    <w:p w14:paraId="2F6BCD6E" w14:textId="45CE5FA4" w:rsidR="0091462C" w:rsidRDefault="0091462C">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9565" w:history="1">
        <w:r w:rsidRPr="00501F68">
          <w:rPr>
            <w:rStyle w:val="Hyperlink"/>
            <w:i/>
            <w:iCs/>
            <w:noProof/>
          </w:rPr>
          <w:t>Table 4.2.3.2: Tools, Accelerators, and Integration</w:t>
        </w:r>
        <w:r>
          <w:rPr>
            <w:noProof/>
            <w:webHidden/>
          </w:rPr>
          <w:tab/>
        </w:r>
        <w:r>
          <w:rPr>
            <w:noProof/>
            <w:webHidden/>
          </w:rPr>
          <w:fldChar w:fldCharType="begin"/>
        </w:r>
        <w:r>
          <w:rPr>
            <w:noProof/>
            <w:webHidden/>
          </w:rPr>
          <w:instrText xml:space="preserve"> PAGEREF _Toc213069565 \h </w:instrText>
        </w:r>
        <w:r>
          <w:rPr>
            <w:noProof/>
            <w:webHidden/>
          </w:rPr>
        </w:r>
        <w:r>
          <w:rPr>
            <w:noProof/>
            <w:webHidden/>
          </w:rPr>
          <w:fldChar w:fldCharType="separate"/>
        </w:r>
        <w:r>
          <w:rPr>
            <w:noProof/>
            <w:webHidden/>
          </w:rPr>
          <w:t>44</w:t>
        </w:r>
        <w:r>
          <w:rPr>
            <w:noProof/>
            <w:webHidden/>
          </w:rPr>
          <w:fldChar w:fldCharType="end"/>
        </w:r>
      </w:hyperlink>
    </w:p>
    <w:p w14:paraId="55B4C0B6" w14:textId="10825C65" w:rsidR="0091462C" w:rsidRDefault="0091462C">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9566" w:history="1">
        <w:r w:rsidRPr="00501F68">
          <w:rPr>
            <w:rStyle w:val="Hyperlink"/>
            <w:i/>
            <w:iCs/>
            <w:noProof/>
          </w:rPr>
          <w:t>Table 4.2.3.3: Metrics and Success Indicators</w:t>
        </w:r>
        <w:r>
          <w:rPr>
            <w:noProof/>
            <w:webHidden/>
          </w:rPr>
          <w:tab/>
        </w:r>
        <w:r>
          <w:rPr>
            <w:noProof/>
            <w:webHidden/>
          </w:rPr>
          <w:fldChar w:fldCharType="begin"/>
        </w:r>
        <w:r>
          <w:rPr>
            <w:noProof/>
            <w:webHidden/>
          </w:rPr>
          <w:instrText xml:space="preserve"> PAGEREF _Toc213069566 \h </w:instrText>
        </w:r>
        <w:r>
          <w:rPr>
            <w:noProof/>
            <w:webHidden/>
          </w:rPr>
        </w:r>
        <w:r>
          <w:rPr>
            <w:noProof/>
            <w:webHidden/>
          </w:rPr>
          <w:fldChar w:fldCharType="separate"/>
        </w:r>
        <w:r>
          <w:rPr>
            <w:noProof/>
            <w:webHidden/>
          </w:rPr>
          <w:t>44</w:t>
        </w:r>
        <w:r>
          <w:rPr>
            <w:noProof/>
            <w:webHidden/>
          </w:rPr>
          <w:fldChar w:fldCharType="end"/>
        </w:r>
      </w:hyperlink>
    </w:p>
    <w:p w14:paraId="05FBEB8C" w14:textId="61CAE42A" w:rsidR="0091462C" w:rsidRPr="000C57A9" w:rsidRDefault="00DF33F9">
      <w:pPr>
        <w:pStyle w:val="TableofFigures"/>
        <w:tabs>
          <w:tab w:val="right" w:leader="dot" w:pos="9350"/>
        </w:tabs>
        <w:rPr>
          <w:noProof/>
        </w:rPr>
      </w:pPr>
      <w:r w:rsidRPr="00DE7141">
        <w:rPr>
          <w:rStyle w:val="Hyperlink"/>
          <w:noProof/>
        </w:rPr>
        <w:fldChar w:fldCharType="end"/>
      </w:r>
      <w:r w:rsidR="0091462C">
        <w:rPr>
          <w:rStyle w:val="Hyperlink"/>
          <w:noProof/>
        </w:rPr>
        <w:fldChar w:fldCharType="begin"/>
      </w:r>
      <w:r w:rsidR="0091462C">
        <w:rPr>
          <w:rStyle w:val="Hyperlink"/>
          <w:noProof/>
        </w:rPr>
        <w:instrText xml:space="preserve"> TOC \h \z \c "Table 4.4.1." </w:instrText>
      </w:r>
      <w:r w:rsidR="0091462C">
        <w:rPr>
          <w:rStyle w:val="Hyperlink"/>
          <w:noProof/>
        </w:rPr>
        <w:fldChar w:fldCharType="separate"/>
      </w:r>
      <w:hyperlink w:anchor="_Toc213069575" w:history="1">
        <w:r w:rsidR="0091462C" w:rsidRPr="00433B84">
          <w:rPr>
            <w:rStyle w:val="Hyperlink"/>
            <w:noProof/>
          </w:rPr>
          <w:t>Table 4.4.1. 1 Continued Consortium QA Deliverables</w:t>
        </w:r>
        <w:r w:rsidR="0091462C">
          <w:rPr>
            <w:noProof/>
            <w:webHidden/>
          </w:rPr>
          <w:tab/>
        </w:r>
        <w:r w:rsidR="0091462C">
          <w:rPr>
            <w:noProof/>
            <w:webHidden/>
          </w:rPr>
          <w:fldChar w:fldCharType="begin"/>
        </w:r>
        <w:r w:rsidR="0091462C">
          <w:rPr>
            <w:noProof/>
            <w:webHidden/>
          </w:rPr>
          <w:instrText xml:space="preserve"> PAGEREF _Toc213069575 \h </w:instrText>
        </w:r>
        <w:r w:rsidR="0091462C">
          <w:rPr>
            <w:noProof/>
            <w:webHidden/>
          </w:rPr>
        </w:r>
        <w:r w:rsidR="0091462C">
          <w:rPr>
            <w:noProof/>
            <w:webHidden/>
          </w:rPr>
          <w:fldChar w:fldCharType="separate"/>
        </w:r>
        <w:r w:rsidR="0091462C">
          <w:rPr>
            <w:noProof/>
            <w:webHidden/>
          </w:rPr>
          <w:t>75</w:t>
        </w:r>
        <w:r w:rsidR="0091462C">
          <w:rPr>
            <w:noProof/>
            <w:webHidden/>
          </w:rPr>
          <w:fldChar w:fldCharType="end"/>
        </w:r>
      </w:hyperlink>
    </w:p>
    <w:p w14:paraId="2C880A1D" w14:textId="1BBAAE1D" w:rsidR="0091462C" w:rsidRDefault="0091462C">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9576" w:history="1">
        <w:r w:rsidRPr="00433B84">
          <w:rPr>
            <w:rStyle w:val="Hyperlink"/>
            <w:noProof/>
          </w:rPr>
          <w:t>Table 4.4.1. 2 Testing types and approach</w:t>
        </w:r>
        <w:r>
          <w:rPr>
            <w:noProof/>
            <w:webHidden/>
          </w:rPr>
          <w:tab/>
        </w:r>
        <w:r>
          <w:rPr>
            <w:noProof/>
            <w:webHidden/>
          </w:rPr>
          <w:fldChar w:fldCharType="begin"/>
        </w:r>
        <w:r>
          <w:rPr>
            <w:noProof/>
            <w:webHidden/>
          </w:rPr>
          <w:instrText xml:space="preserve"> PAGEREF _Toc213069576 \h </w:instrText>
        </w:r>
        <w:r>
          <w:rPr>
            <w:noProof/>
            <w:webHidden/>
          </w:rPr>
        </w:r>
        <w:r>
          <w:rPr>
            <w:noProof/>
            <w:webHidden/>
          </w:rPr>
          <w:fldChar w:fldCharType="separate"/>
        </w:r>
        <w:r>
          <w:rPr>
            <w:noProof/>
            <w:webHidden/>
          </w:rPr>
          <w:t>79</w:t>
        </w:r>
        <w:r>
          <w:rPr>
            <w:noProof/>
            <w:webHidden/>
          </w:rPr>
          <w:fldChar w:fldCharType="end"/>
        </w:r>
      </w:hyperlink>
    </w:p>
    <w:p w14:paraId="79F8D379" w14:textId="62657AE1" w:rsidR="0091462C" w:rsidRDefault="0091462C">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9577" w:history="1">
        <w:r w:rsidRPr="00433B84">
          <w:rPr>
            <w:rStyle w:val="Hyperlink"/>
            <w:noProof/>
          </w:rPr>
          <w:t>Table 4.4.1. 3 Key Testing Capabilities</w:t>
        </w:r>
        <w:r>
          <w:rPr>
            <w:noProof/>
            <w:webHidden/>
          </w:rPr>
          <w:tab/>
        </w:r>
        <w:r>
          <w:rPr>
            <w:noProof/>
            <w:webHidden/>
          </w:rPr>
          <w:fldChar w:fldCharType="begin"/>
        </w:r>
        <w:r>
          <w:rPr>
            <w:noProof/>
            <w:webHidden/>
          </w:rPr>
          <w:instrText xml:space="preserve"> PAGEREF _Toc213069577 \h </w:instrText>
        </w:r>
        <w:r>
          <w:rPr>
            <w:noProof/>
            <w:webHidden/>
          </w:rPr>
        </w:r>
        <w:r>
          <w:rPr>
            <w:noProof/>
            <w:webHidden/>
          </w:rPr>
          <w:fldChar w:fldCharType="separate"/>
        </w:r>
        <w:r>
          <w:rPr>
            <w:noProof/>
            <w:webHidden/>
          </w:rPr>
          <w:t>80</w:t>
        </w:r>
        <w:r>
          <w:rPr>
            <w:noProof/>
            <w:webHidden/>
          </w:rPr>
          <w:fldChar w:fldCharType="end"/>
        </w:r>
      </w:hyperlink>
    </w:p>
    <w:p w14:paraId="59D5BA19" w14:textId="1BB943BF" w:rsidR="0091462C" w:rsidRDefault="0091462C">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9578" w:history="1">
        <w:r w:rsidRPr="00433B84">
          <w:rPr>
            <w:rStyle w:val="Hyperlink"/>
            <w:noProof/>
          </w:rPr>
          <w:t>Table 4.4.1. 4 Key Quality Metrics</w:t>
        </w:r>
        <w:r>
          <w:rPr>
            <w:noProof/>
            <w:webHidden/>
          </w:rPr>
          <w:tab/>
        </w:r>
        <w:r>
          <w:rPr>
            <w:noProof/>
            <w:webHidden/>
          </w:rPr>
          <w:fldChar w:fldCharType="begin"/>
        </w:r>
        <w:r>
          <w:rPr>
            <w:noProof/>
            <w:webHidden/>
          </w:rPr>
          <w:instrText xml:space="preserve"> PAGEREF _Toc213069578 \h </w:instrText>
        </w:r>
        <w:r>
          <w:rPr>
            <w:noProof/>
            <w:webHidden/>
          </w:rPr>
        </w:r>
        <w:r>
          <w:rPr>
            <w:noProof/>
            <w:webHidden/>
          </w:rPr>
          <w:fldChar w:fldCharType="separate"/>
        </w:r>
        <w:r>
          <w:rPr>
            <w:noProof/>
            <w:webHidden/>
          </w:rPr>
          <w:t>81</w:t>
        </w:r>
        <w:r>
          <w:rPr>
            <w:noProof/>
            <w:webHidden/>
          </w:rPr>
          <w:fldChar w:fldCharType="end"/>
        </w:r>
      </w:hyperlink>
    </w:p>
    <w:p w14:paraId="58D869FD" w14:textId="3DA6405A" w:rsidR="000E5A21" w:rsidRPr="000C57A9" w:rsidRDefault="0091462C" w:rsidP="00C961F2">
      <w:pPr>
        <w:pStyle w:val="TableofFigures"/>
        <w:tabs>
          <w:tab w:val="right" w:leader="dot" w:pos="9350"/>
        </w:tabs>
        <w:rPr>
          <w:rStyle w:val="Hyperlink"/>
          <w:noProof/>
        </w:rPr>
      </w:pPr>
      <w:r>
        <w:rPr>
          <w:rStyle w:val="Hyperlink"/>
          <w:noProof/>
        </w:rPr>
        <w:fldChar w:fldCharType="end"/>
      </w:r>
      <w:r w:rsidR="000E5A21" w:rsidRPr="00C961F2">
        <w:rPr>
          <w:rStyle w:val="Hyperlink"/>
          <w:noProof/>
        </w:rPr>
        <w:fldChar w:fldCharType="begin"/>
      </w:r>
      <w:r w:rsidR="00DF33F9" w:rsidRPr="00C961F2">
        <w:rPr>
          <w:rStyle w:val="Hyperlink"/>
          <w:noProof/>
        </w:rPr>
        <w:instrText xml:space="preserve"> TOC \h \z \c "Table 4.4.2." </w:instrText>
      </w:r>
      <w:r w:rsidR="000E5A21" w:rsidRPr="00C961F2">
        <w:rPr>
          <w:rStyle w:val="Hyperlink"/>
          <w:noProof/>
        </w:rPr>
        <w:fldChar w:fldCharType="separate"/>
      </w:r>
      <w:hyperlink w:anchor="_Toc212367480">
        <w:r w:rsidR="000E5A21" w:rsidRPr="066EE74A">
          <w:rPr>
            <w:rStyle w:val="Hyperlink"/>
            <w:noProof/>
          </w:rPr>
          <w:t>Table 4.4.2. 1 Key Shift from foundation-to-Evolution &amp; Maturity</w:t>
        </w:r>
        <w:r w:rsidR="000E5A21" w:rsidRPr="00C961F2">
          <w:rPr>
            <w:rStyle w:val="Hyperlink"/>
            <w:noProof/>
          </w:rPr>
          <w:tab/>
        </w:r>
        <w:r w:rsidR="000E5A21" w:rsidRPr="00C961F2">
          <w:rPr>
            <w:rStyle w:val="Hyperlink"/>
          </w:rPr>
          <w:fldChar w:fldCharType="begin"/>
        </w:r>
        <w:r w:rsidR="000E5A21" w:rsidRPr="00C961F2">
          <w:rPr>
            <w:rStyle w:val="Hyperlink"/>
          </w:rPr>
          <w:instrText xml:space="preserve"> PAGEREF _Toc212367480 \h </w:instrText>
        </w:r>
        <w:r w:rsidR="000E5A21" w:rsidRPr="00C961F2">
          <w:rPr>
            <w:rStyle w:val="Hyperlink"/>
          </w:rPr>
        </w:r>
        <w:r w:rsidR="000E5A21" w:rsidRPr="00C961F2">
          <w:rPr>
            <w:rStyle w:val="Hyperlink"/>
          </w:rPr>
          <w:fldChar w:fldCharType="separate"/>
        </w:r>
        <w:r w:rsidR="00FB29F8">
          <w:rPr>
            <w:rStyle w:val="Hyperlink"/>
            <w:noProof/>
          </w:rPr>
          <w:t>85</w:t>
        </w:r>
        <w:r w:rsidR="000E5A21" w:rsidRPr="00C961F2">
          <w:rPr>
            <w:rStyle w:val="Hyperlink"/>
          </w:rPr>
          <w:fldChar w:fldCharType="end"/>
        </w:r>
      </w:hyperlink>
    </w:p>
    <w:p w14:paraId="5B6FEF2D" w14:textId="19603859" w:rsidR="000E5A21" w:rsidRPr="00C961F2" w:rsidRDefault="000E5A21" w:rsidP="066EE74A">
      <w:pPr>
        <w:pStyle w:val="TableofFigures"/>
        <w:tabs>
          <w:tab w:val="right" w:leader="dot" w:pos="9350"/>
        </w:tabs>
        <w:rPr>
          <w:rStyle w:val="Hyperlink"/>
        </w:rPr>
      </w:pPr>
      <w:hyperlink w:anchor="_Toc212367481">
        <w:r w:rsidRPr="066EE74A">
          <w:rPr>
            <w:rStyle w:val="Hyperlink"/>
            <w:noProof/>
          </w:rPr>
          <w:t>Table 4.4.2. 2 Continuous QA Effectiveness Framework (CQEF) dimension breakdown</w:t>
        </w:r>
        <w:r w:rsidRPr="00C961F2">
          <w:rPr>
            <w:rStyle w:val="Hyperlink"/>
            <w:noProof/>
          </w:rPr>
          <w:tab/>
        </w:r>
        <w:r w:rsidRPr="00C961F2">
          <w:rPr>
            <w:rStyle w:val="Hyperlink"/>
          </w:rPr>
          <w:fldChar w:fldCharType="begin"/>
        </w:r>
        <w:r w:rsidRPr="00C961F2">
          <w:rPr>
            <w:rStyle w:val="Hyperlink"/>
          </w:rPr>
          <w:instrText xml:space="preserve"> PAGEREF _Toc212367481 \h </w:instrText>
        </w:r>
        <w:r w:rsidRPr="00C961F2">
          <w:rPr>
            <w:rStyle w:val="Hyperlink"/>
          </w:rPr>
        </w:r>
        <w:r w:rsidRPr="00C961F2">
          <w:rPr>
            <w:rStyle w:val="Hyperlink"/>
          </w:rPr>
          <w:fldChar w:fldCharType="separate"/>
        </w:r>
        <w:r w:rsidR="00FB29F8">
          <w:rPr>
            <w:rStyle w:val="Hyperlink"/>
            <w:noProof/>
          </w:rPr>
          <w:t>87</w:t>
        </w:r>
        <w:r w:rsidRPr="00C961F2">
          <w:rPr>
            <w:rStyle w:val="Hyperlink"/>
          </w:rPr>
          <w:fldChar w:fldCharType="end"/>
        </w:r>
      </w:hyperlink>
    </w:p>
    <w:p w14:paraId="2674CDE7" w14:textId="5DB52987" w:rsidR="00B7431A" w:rsidRDefault="000E5A21" w:rsidP="00C961F2">
      <w:pPr>
        <w:pStyle w:val="TableofFigures"/>
        <w:tabs>
          <w:tab w:val="right" w:leader="dot" w:pos="9350"/>
        </w:tabs>
      </w:pPr>
      <w:r w:rsidRPr="00C961F2">
        <w:rPr>
          <w:rStyle w:val="Hyperlink"/>
          <w:noProof/>
        </w:rPr>
        <w:fldChar w:fldCharType="end"/>
      </w:r>
    </w:p>
    <w:p w14:paraId="2E40E19D" w14:textId="77777777" w:rsidR="00405EF5" w:rsidRDefault="00405EF5" w:rsidP="00A56FE9">
      <w:pPr>
        <w:pStyle w:val="CS-IBMResponseText"/>
      </w:pPr>
      <w:bookmarkStart w:id="0" w:name="_Toc350169568"/>
    </w:p>
    <w:p w14:paraId="2C82DEB1" w14:textId="77777777" w:rsidR="00CC0BAE" w:rsidRDefault="00CC0BAE" w:rsidP="00A56FE9">
      <w:pPr>
        <w:pStyle w:val="CS-IBMResponseText"/>
        <w:sectPr w:rsidR="00CC0BAE" w:rsidSect="00E948FB">
          <w:headerReference w:type="default" r:id="rId8"/>
          <w:footerReference w:type="default" r:id="rId9"/>
          <w:pgSz w:w="12240" w:h="15840" w:code="1"/>
          <w:pgMar w:top="1323" w:right="1440" w:bottom="1197" w:left="1440" w:header="504" w:footer="423" w:gutter="0"/>
          <w:pgNumType w:fmt="lowerRoman" w:start="1"/>
          <w:cols w:space="708"/>
          <w:docGrid w:linePitch="360"/>
        </w:sectPr>
      </w:pPr>
    </w:p>
    <w:p w14:paraId="75BE33ED" w14:textId="02D2AE62" w:rsidR="007F70F6" w:rsidRDefault="00467739" w:rsidP="005C7862">
      <w:pPr>
        <w:pStyle w:val="Heading1"/>
      </w:pPr>
      <w:bookmarkStart w:id="1" w:name="_Toc213070143"/>
      <w:bookmarkEnd w:id="0"/>
      <w:r w:rsidRPr="00467739">
        <w:lastRenderedPageBreak/>
        <w:t>Understanding and Approach to QA</w:t>
      </w:r>
      <w:bookmarkEnd w:id="1"/>
      <w:r w:rsidRPr="00467739">
        <w:t xml:space="preserve"> </w:t>
      </w:r>
    </w:p>
    <w:p w14:paraId="443832DC" w14:textId="77777777" w:rsidR="00767673" w:rsidRDefault="00767673" w:rsidP="00767673">
      <w:pPr>
        <w:pStyle w:val="Heading2"/>
      </w:pPr>
      <w:bookmarkStart w:id="2" w:name="_Toc213070144"/>
      <w:r w:rsidRPr="00767673">
        <w:t>Quality Assurance Staffing</w:t>
      </w:r>
      <w:bookmarkEnd w:id="2"/>
    </w:p>
    <w:p w14:paraId="4FF8D431" w14:textId="6B88A6B2" w:rsidR="00767673" w:rsidRDefault="00D16E5E" w:rsidP="00D16E5E">
      <w:pPr>
        <w:pStyle w:val="Heading3"/>
      </w:pPr>
      <w:bookmarkStart w:id="3" w:name="_Toc213070145"/>
      <w:r w:rsidRPr="00D16E5E">
        <w:t>UA1</w:t>
      </w:r>
      <w:r w:rsidR="00502160">
        <w:t xml:space="preserve"> – </w:t>
      </w:r>
      <w:r w:rsidR="00AA70F6">
        <w:t>Staffing Approach Prepares QA Team to Adjust to Future Changes</w:t>
      </w:r>
      <w:bookmarkEnd w:id="3"/>
    </w:p>
    <w:p w14:paraId="3C597FE7" w14:textId="039FBD61" w:rsidR="00BD0A4C" w:rsidRPr="00D44AE9" w:rsidRDefault="00BD0A4C" w:rsidP="00CF7600">
      <w:pPr>
        <w:pStyle w:val="CS-RFPBodyText"/>
        <w:numPr>
          <w:ilvl w:val="0"/>
          <w:numId w:val="39"/>
        </w:numPr>
        <w:spacing w:before="0" w:after="0"/>
        <w:rPr>
          <w:i/>
          <w:szCs w:val="22"/>
        </w:rPr>
      </w:pPr>
      <w:r w:rsidRPr="00D44AE9">
        <w:rPr>
          <w:i/>
          <w:szCs w:val="22"/>
        </w:rPr>
        <w:t>The Consortium expects the CalSAWS Infrastructure, M&amp;E and BenefitsCal contractors to provide ongoing innovation to the CalSAWS system processes, tools, applications and infrastructure.</w:t>
      </w:r>
    </w:p>
    <w:p w14:paraId="6C993266" w14:textId="3E33D989" w:rsidR="00491270" w:rsidRPr="00D44AE9" w:rsidRDefault="00491270" w:rsidP="00CF7600">
      <w:pPr>
        <w:pStyle w:val="CS-RFPBodyText"/>
        <w:numPr>
          <w:ilvl w:val="0"/>
          <w:numId w:val="39"/>
        </w:numPr>
        <w:spacing w:before="0" w:after="0"/>
        <w:rPr>
          <w:i/>
          <w:szCs w:val="22"/>
        </w:rPr>
      </w:pPr>
      <w:r w:rsidRPr="00D44AE9">
        <w:rPr>
          <w:i/>
          <w:szCs w:val="22"/>
        </w:rPr>
        <w:t>Describe how your staffing approach will uniquely prepare the QA team to adjust to future changes within the CalSAWS environment.</w:t>
      </w:r>
    </w:p>
    <w:p w14:paraId="4C2F5882" w14:textId="77777777" w:rsidR="00491270" w:rsidRPr="00D44AE9" w:rsidRDefault="00491270" w:rsidP="00CF7600">
      <w:pPr>
        <w:pStyle w:val="CS-RFPBodyText"/>
        <w:numPr>
          <w:ilvl w:val="0"/>
          <w:numId w:val="39"/>
        </w:numPr>
        <w:spacing w:before="0" w:after="0"/>
        <w:rPr>
          <w:i/>
          <w:szCs w:val="22"/>
        </w:rPr>
      </w:pPr>
      <w:r w:rsidRPr="00D44AE9">
        <w:rPr>
          <w:i/>
          <w:szCs w:val="22"/>
        </w:rPr>
        <w:t>Provide demonstrated examples from previous QA projects as applicable.</w:t>
      </w:r>
    </w:p>
    <w:p w14:paraId="07D25E27" w14:textId="77777777" w:rsidR="005C7862" w:rsidRDefault="005C7862" w:rsidP="00810CFA">
      <w:pPr>
        <w:pStyle w:val="CS-IBMResponseText"/>
        <w:rPr>
          <w:b/>
          <w:bCs/>
          <w:color w:val="auto"/>
        </w:rPr>
      </w:pPr>
    </w:p>
    <w:p w14:paraId="333229B2" w14:textId="77777777" w:rsidR="00457939" w:rsidRPr="0073445D" w:rsidRDefault="00457939" w:rsidP="00457939">
      <w:pPr>
        <w:pStyle w:val="CS-IBMResponseText"/>
        <w:rPr>
          <w:color w:val="0070C0"/>
          <w:sz w:val="28"/>
          <w:szCs w:val="28"/>
        </w:rPr>
      </w:pPr>
      <w:r w:rsidRPr="00CA2B9A">
        <w:rPr>
          <w:color w:val="0070C0"/>
          <w:sz w:val="28"/>
          <w:szCs w:val="28"/>
        </w:rPr>
        <w:t>Introduction</w:t>
      </w:r>
      <w:r w:rsidRPr="0073445D">
        <w:rPr>
          <w:color w:val="0070C0"/>
          <w:sz w:val="28"/>
          <w:szCs w:val="28"/>
        </w:rPr>
        <w:t xml:space="preserve"> </w:t>
      </w:r>
    </w:p>
    <w:p w14:paraId="6EF1BC25" w14:textId="4DD410F1" w:rsidR="00491270" w:rsidRPr="005C7862" w:rsidRDefault="00491270" w:rsidP="00810CFA">
      <w:pPr>
        <w:pStyle w:val="CS-IBMResponseText"/>
        <w:rPr>
          <w:color w:val="auto"/>
        </w:rPr>
      </w:pPr>
      <w:r w:rsidRPr="005C7862">
        <w:rPr>
          <w:color w:val="auto"/>
        </w:rPr>
        <w:t xml:space="preserve">To meet the Consortium's expectations, </w:t>
      </w:r>
      <w:r w:rsidR="007476D8" w:rsidRPr="005C7862">
        <w:rPr>
          <w:color w:val="auto"/>
        </w:rPr>
        <w:t xml:space="preserve">IBM understands </w:t>
      </w:r>
      <w:r w:rsidR="002635B8" w:rsidRPr="005C7862">
        <w:rPr>
          <w:color w:val="auto"/>
        </w:rPr>
        <w:t xml:space="preserve">that </w:t>
      </w:r>
      <w:r w:rsidRPr="005C7862">
        <w:rPr>
          <w:color w:val="auto"/>
        </w:rPr>
        <w:t>QA staffing must continuously adapt to new environments, integrating modern processes, tools, and infrastructures while maintaining high quality.</w:t>
      </w:r>
    </w:p>
    <w:p w14:paraId="24280749" w14:textId="77777777" w:rsidR="00491270" w:rsidRPr="00CD1FBC" w:rsidRDefault="00491270" w:rsidP="00211D09">
      <w:pPr>
        <w:pStyle w:val="CS-IBMResponseText"/>
        <w:rPr>
          <w:szCs w:val="22"/>
        </w:rPr>
      </w:pPr>
      <w:r w:rsidRPr="00CD1FBC">
        <w:rPr>
          <w:szCs w:val="22"/>
        </w:rPr>
        <w:t>The CalSAWS (California Statewide Automated Welfare System) Consortium expects its QA staffing partner to do more than execute test cases. Staffing must evolve in lockstep with ongoing modernization of CalSAWS — a system that integrates Medi-Cal, CalFRESH, CalWORKs, General Assistance, Refugee Cash Assistance, Foster Care, and other vital programs administered by 58 counties on behalf of the State of California. With millions of residents depending on timely, accurate, and equitable benefits, QA staffing must continuously adapt to innovation in processes, tools, and infrastructure while preserving uncompromised quality.</w:t>
      </w:r>
    </w:p>
    <w:p w14:paraId="07D4F56F" w14:textId="77777777" w:rsidR="00491270" w:rsidRPr="00CD1FBC" w:rsidRDefault="00491270" w:rsidP="00F2577D">
      <w:pPr>
        <w:pStyle w:val="CS-IBMResponseText"/>
        <w:rPr>
          <w:szCs w:val="22"/>
        </w:rPr>
      </w:pPr>
      <w:r w:rsidRPr="00CD1FBC">
        <w:rPr>
          <w:szCs w:val="22"/>
        </w:rPr>
        <w:t>IBM understands that future readiness for QA means:</w:t>
      </w:r>
    </w:p>
    <w:p w14:paraId="0FD866C3" w14:textId="77777777" w:rsidR="00491270" w:rsidRPr="00CD1FBC" w:rsidRDefault="00491270" w:rsidP="004474E9">
      <w:pPr>
        <w:pStyle w:val="CS-IBMBullet1"/>
        <w:rPr>
          <w:szCs w:val="22"/>
        </w:rPr>
      </w:pPr>
      <w:r w:rsidRPr="00CD1FBC">
        <w:rPr>
          <w:szCs w:val="22"/>
        </w:rPr>
        <w:t>Staffing that is multi-disciplinary, capable of pivoting to new technologies and policies.</w:t>
      </w:r>
    </w:p>
    <w:p w14:paraId="7BEB0C98" w14:textId="77777777" w:rsidR="00491270" w:rsidRPr="00CD1FBC" w:rsidRDefault="00491270" w:rsidP="004474E9">
      <w:pPr>
        <w:pStyle w:val="CS-IBMBullet1"/>
        <w:rPr>
          <w:szCs w:val="22"/>
        </w:rPr>
      </w:pPr>
      <w:r w:rsidRPr="00CD1FBC">
        <w:rPr>
          <w:szCs w:val="22"/>
        </w:rPr>
        <w:t>Embedding innovation directly into QA teams so every release cycle benefits from continuous improvement.</w:t>
      </w:r>
    </w:p>
    <w:p w14:paraId="034F278C" w14:textId="524EBA29" w:rsidR="00491270" w:rsidRPr="00CD1FBC" w:rsidRDefault="00491270" w:rsidP="004474E9">
      <w:pPr>
        <w:pStyle w:val="CS-IBMBullet1"/>
        <w:rPr>
          <w:szCs w:val="22"/>
        </w:rPr>
      </w:pPr>
      <w:r w:rsidRPr="00CD1FBC">
        <w:rPr>
          <w:szCs w:val="22"/>
        </w:rPr>
        <w:t xml:space="preserve">Governance structures and IBM QA Team leadership that emphasizes effective collaboration with the CalSAWS Consortium, </w:t>
      </w:r>
      <w:r w:rsidR="003A3D6E">
        <w:rPr>
          <w:szCs w:val="22"/>
        </w:rPr>
        <w:t xml:space="preserve">The CalSAWS Joint Powers Authority (JPA, Project Steering Committee (PSC), </w:t>
      </w:r>
      <w:r w:rsidRPr="00CD1FBC">
        <w:rPr>
          <w:szCs w:val="22"/>
        </w:rPr>
        <w:t>Deloitte, Gainwell, and other partners in a multi-vendor environment.</w:t>
      </w:r>
    </w:p>
    <w:p w14:paraId="0E5B72A6" w14:textId="3BCDCB2B" w:rsidR="00491270" w:rsidRPr="00CD1FBC" w:rsidRDefault="00491270" w:rsidP="001D58E7">
      <w:pPr>
        <w:pStyle w:val="CS-IBMBullet1"/>
        <w:rPr>
          <w:szCs w:val="22"/>
        </w:rPr>
      </w:pPr>
      <w:r w:rsidRPr="00CD1FBC">
        <w:rPr>
          <w:szCs w:val="22"/>
        </w:rPr>
        <w:t>Resilient processes that sustain quality and compliance across legislative mandates, technology modernization, and evolving user expectations..</w:t>
      </w:r>
    </w:p>
    <w:p w14:paraId="3F229F1C" w14:textId="320C2E99" w:rsidR="004474E9" w:rsidRDefault="00A82685" w:rsidP="00707552">
      <w:pPr>
        <w:pStyle w:val="CS-IBMResponseText"/>
        <w:keepNext/>
      </w:pPr>
      <w:r>
        <w:rPr>
          <w:noProof/>
        </w:rPr>
        <w:lastRenderedPageBreak/>
        <mc:AlternateContent>
          <mc:Choice Requires="wps">
            <w:drawing>
              <wp:anchor distT="0" distB="0" distL="114300" distR="114300" simplePos="0" relativeHeight="251658264" behindDoc="0" locked="0" layoutInCell="1" allowOverlap="1" wp14:anchorId="69E63ECB" wp14:editId="792B7EAA">
                <wp:simplePos x="0" y="0"/>
                <wp:positionH relativeFrom="column">
                  <wp:posOffset>1621790</wp:posOffset>
                </wp:positionH>
                <wp:positionV relativeFrom="paragraph">
                  <wp:posOffset>2795270</wp:posOffset>
                </wp:positionV>
                <wp:extent cx="2677795" cy="635"/>
                <wp:effectExtent l="0" t="0" r="1905" b="12065"/>
                <wp:wrapTopAndBottom/>
                <wp:docPr id="1593265138" name="Text Box 1"/>
                <wp:cNvGraphicFramePr/>
                <a:graphic xmlns:a="http://schemas.openxmlformats.org/drawingml/2006/main">
                  <a:graphicData uri="http://schemas.microsoft.com/office/word/2010/wordprocessingShape">
                    <wps:wsp>
                      <wps:cNvSpPr txBox="1"/>
                      <wps:spPr>
                        <a:xfrm>
                          <a:off x="0" y="0"/>
                          <a:ext cx="2677795" cy="635"/>
                        </a:xfrm>
                        <a:prstGeom prst="rect">
                          <a:avLst/>
                        </a:prstGeom>
                        <a:solidFill>
                          <a:prstClr val="white"/>
                        </a:solidFill>
                        <a:ln>
                          <a:noFill/>
                        </a:ln>
                      </wps:spPr>
                      <wps:txbx>
                        <w:txbxContent>
                          <w:p w14:paraId="7DF3830D" w14:textId="5FD3E261" w:rsidR="00A82685" w:rsidRPr="0021050D" w:rsidRDefault="00A82685" w:rsidP="00A82685">
                            <w:pPr>
                              <w:pStyle w:val="Caption"/>
                              <w:jc w:val="center"/>
                              <w:rPr>
                                <w:rFonts w:cs="Arial"/>
                                <w:noProof/>
                                <w:color w:val="0D0D0D" w:themeColor="text1" w:themeTint="F2"/>
                                <w:sz w:val="22"/>
                                <w:szCs w:val="21"/>
                              </w:rPr>
                            </w:pPr>
                            <w:bookmarkStart w:id="4" w:name="_Toc212408688"/>
                            <w:r>
                              <w:t xml:space="preserve">Figure 4.1.1. </w:t>
                            </w:r>
                            <w:r>
                              <w:fldChar w:fldCharType="begin"/>
                            </w:r>
                            <w:r>
                              <w:instrText xml:space="preserve"> SEQ Figure_4.1.1. \* ARABIC </w:instrText>
                            </w:r>
                            <w:r>
                              <w:fldChar w:fldCharType="separate"/>
                            </w:r>
                            <w:r w:rsidR="00FB29F8">
                              <w:rPr>
                                <w:noProof/>
                              </w:rPr>
                              <w:t>1</w:t>
                            </w:r>
                            <w:r>
                              <w:fldChar w:fldCharType="end"/>
                            </w:r>
                            <w:r>
                              <w:t xml:space="preserve"> Quality Assurance Staffing</w:t>
                            </w:r>
                            <w:bookmarkEnd w:id="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9E63ECB" id="_x0000_t202" coordsize="21600,21600" o:spt="202" path="m,l,21600r21600,l21600,xe">
                <v:stroke joinstyle="miter"/>
                <v:path gradientshapeok="t" o:connecttype="rect"/>
              </v:shapetype>
              <v:shape id="Text Box 1" o:spid="_x0000_s1026" type="#_x0000_t202" style="position:absolute;margin-left:127.7pt;margin-top:220.1pt;width:210.85pt;height:.0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" stroked="f">
                <v:textbox style="mso-fit-shape-to-text:t" inset="0,0,0,0">
                  <w:txbxContent>
                    <w:p w14:paraId="7DF3830D" w14:textId="5FD3E261" w:rsidR="00A82685" w:rsidRPr="0021050D" w:rsidRDefault="00A82685" w:rsidP="00A82685">
                      <w:pPr>
                        <w:pStyle w:val="Caption"/>
                        <w:jc w:val="center"/>
                        <w:rPr>
                          <w:rFonts w:cs="Arial"/>
                          <w:noProof/>
                          <w:color w:val="0D0D0D" w:themeColor="text1" w:themeTint="F2"/>
                          <w:sz w:val="22"/>
                          <w:szCs w:val="21"/>
                        </w:rPr>
                      </w:pPr>
                      <w:bookmarkStart w:id="5" w:name="_Toc212408688"/>
                      <w:r>
                        <w:t xml:space="preserve">Figure 4.1.1. </w:t>
                      </w:r>
                      <w:r>
                        <w:fldChar w:fldCharType="begin"/>
                      </w:r>
                      <w:r>
                        <w:instrText xml:space="preserve"> SEQ Figure_4.1.1. \* ARABIC </w:instrText>
                      </w:r>
                      <w:r>
                        <w:fldChar w:fldCharType="separate"/>
                      </w:r>
                      <w:r w:rsidR="00FB29F8">
                        <w:rPr>
                          <w:noProof/>
                        </w:rPr>
                        <w:t>1</w:t>
                      </w:r>
                      <w:r>
                        <w:fldChar w:fldCharType="end"/>
                      </w:r>
                      <w:r>
                        <w:t xml:space="preserve"> Quality Assurance Staffing</w:t>
                      </w:r>
                      <w:bookmarkEnd w:id="5"/>
                    </w:p>
                  </w:txbxContent>
                </v:textbox>
                <w10:wrap type="topAndBottom"/>
              </v:shape>
            </w:pict>
          </mc:Fallback>
        </mc:AlternateContent>
      </w:r>
      <w:r w:rsidR="00707552" w:rsidRPr="00707552">
        <w:rPr>
          <w:noProof/>
        </w:rPr>
        <w:drawing>
          <wp:anchor distT="0" distB="0" distL="114300" distR="114300" simplePos="0" relativeHeight="251658240" behindDoc="0" locked="0" layoutInCell="1" allowOverlap="1" wp14:anchorId="5D0717F4" wp14:editId="65FF3E12">
            <wp:simplePos x="0" y="0"/>
            <wp:positionH relativeFrom="column">
              <wp:posOffset>1621790</wp:posOffset>
            </wp:positionH>
            <wp:positionV relativeFrom="paragraph">
              <wp:posOffset>187234</wp:posOffset>
            </wp:positionV>
            <wp:extent cx="2677795" cy="2551430"/>
            <wp:effectExtent l="0" t="0" r="1905" b="1270"/>
            <wp:wrapTopAndBottom/>
            <wp:docPr id="1875386588" name="Picture 1" descr="A diagram of multi-disciplina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6588" name="Picture 1" descr="A diagram of multi-disciplinary&#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77795" cy="2551430"/>
                    </a:xfrm>
                    <a:prstGeom prst="rect">
                      <a:avLst/>
                    </a:prstGeom>
                  </pic:spPr>
                </pic:pic>
              </a:graphicData>
            </a:graphic>
            <wp14:sizeRelH relativeFrom="page">
              <wp14:pctWidth>0</wp14:pctWidth>
            </wp14:sizeRelH>
            <wp14:sizeRelV relativeFrom="page">
              <wp14:pctHeight>0</wp14:pctHeight>
            </wp14:sizeRelV>
          </wp:anchor>
        </w:drawing>
      </w:r>
    </w:p>
    <w:p w14:paraId="39373A5A" w14:textId="30E7CC89" w:rsidR="00491270" w:rsidRPr="004C3C17" w:rsidRDefault="00E746D2" w:rsidP="00F2577D">
      <w:pPr>
        <w:pStyle w:val="CS-IBMResponseText"/>
        <w:rPr>
          <w:color w:val="0070C0"/>
          <w:sz w:val="28"/>
          <w:szCs w:val="28"/>
        </w:rPr>
      </w:pPr>
      <w:r w:rsidRPr="004C3C17">
        <w:rPr>
          <w:color w:val="0070C0"/>
          <w:sz w:val="28"/>
          <w:szCs w:val="28"/>
        </w:rPr>
        <w:t xml:space="preserve">Tailored </w:t>
      </w:r>
      <w:r w:rsidR="00C9316D" w:rsidRPr="004C3C17">
        <w:rPr>
          <w:color w:val="0070C0"/>
          <w:sz w:val="28"/>
          <w:szCs w:val="28"/>
        </w:rPr>
        <w:t xml:space="preserve">Staffing </w:t>
      </w:r>
    </w:p>
    <w:p w14:paraId="16C656A1" w14:textId="77777777" w:rsidR="00491270" w:rsidRPr="006A48C1" w:rsidRDefault="00491270" w:rsidP="00F2577D">
      <w:pPr>
        <w:pStyle w:val="CS-IBMResponseText"/>
      </w:pPr>
      <w:r w:rsidRPr="006A48C1">
        <w:t>IBM’s QA staffing approach prepares CalSAWS for today’s demands while positioning the system for future challenges. By combining hybrid staffing, multi-disciplinary QA pods, and embedded innovation, IBM ensures that the Consortium receives not only reliable QA services but also ongoing improvements in speed, efficiency, and citizen outcomes. For example, in other large HHS programs, IBM’s model reduced release of regression cycles by up to 40% while increasing quality confidence. CalSAWS will see similar benefits through IBM’s ability to modernize QA in alignment with the CalSAWS Consortium’s modernization roadmap and the work of CalSAWS’ technology partners.</w:t>
      </w:r>
    </w:p>
    <w:p w14:paraId="1C119B97" w14:textId="2FEBFF69" w:rsidR="00F3400B" w:rsidRPr="006A48C1" w:rsidRDefault="00557630" w:rsidP="00F2577D">
      <w:pPr>
        <w:pStyle w:val="CS-IBMResponseText"/>
      </w:pPr>
      <w:r w:rsidRPr="006A48C1">
        <w:t xml:space="preserve">IBM’s QA staffing approach equips CalSAWS to meet current needs and future challenges through a hybrid model that blends onsite leadership </w:t>
      </w:r>
      <w:r w:rsidR="00AD5B07">
        <w:t>at CalSAWS</w:t>
      </w:r>
      <w:r w:rsidR="00C76429">
        <w:t>’</w:t>
      </w:r>
      <w:r w:rsidR="00AD5B07">
        <w:t xml:space="preserve"> Gold River location</w:t>
      </w:r>
      <w:r w:rsidRPr="006A48C1">
        <w:t xml:space="preserve"> with an innovation team in Lansing, MI. Multi-disciplinary QA pods, spanning functional, automation, AI, and performance testing, are embedded within release cycles to ensure quality and agility. A dedicated Innovation Pod leverages IBM’s Intelligent Quality Platform (IQP+) to enable AI-driven testing, predictive analytics, and continuous improvement. Supported by proactive capacity planning and domain-specific SMEs, IBM’s model enhances efficiency, accelerates delivery, and drives modernization aligned with CalSAWS’ strategic roadmap, building on proven success from other large HHS programs</w:t>
      </w:r>
    </w:p>
    <w:p w14:paraId="550116B1" w14:textId="0E17E538" w:rsidR="007B463A" w:rsidRPr="006A48C1" w:rsidRDefault="007B463A" w:rsidP="007B463A">
      <w:pPr>
        <w:pStyle w:val="CS-IBMResponseText"/>
      </w:pPr>
      <w:r w:rsidRPr="006A48C1">
        <w:t>Agility and faster time-to-market are critical to sustainable business growth in today’s competitive landscape. Product and software development cycles are nearly instantaneous,</w:t>
      </w:r>
      <w:r w:rsidR="00780B2F">
        <w:t xml:space="preserve"> resulting from CI/CD and other optimizations</w:t>
      </w:r>
      <w:r w:rsidRPr="006A48C1">
        <w:t>, making it essential for organizations to ensure that solutions perform as intended and deliver measurable value and ROI.</w:t>
      </w:r>
    </w:p>
    <w:p w14:paraId="281F22C8" w14:textId="3C51EC35" w:rsidR="00DB2E92" w:rsidRPr="006A48C1" w:rsidRDefault="007B463A" w:rsidP="00F2577D">
      <w:pPr>
        <w:pStyle w:val="CS-IBMResponseText"/>
      </w:pPr>
      <w:r w:rsidRPr="006A48C1">
        <w:t xml:space="preserve">IBM recognizes that the ability to test quickly and accurately reduces time and costs associated with defect resolution. To maximize client value, our testing discipline leverages a standardized framework that defines consistent test types, terminology, </w:t>
      </w:r>
      <w:r w:rsidRPr="00B10BDB">
        <w:rPr>
          <w:sz w:val="20"/>
          <w:szCs w:val="20"/>
        </w:rPr>
        <w:t>and processes, enabling repeatable, end-to-end quality assurance across</w:t>
      </w:r>
      <w:r w:rsidRPr="006A48C1">
        <w:t xml:space="preserve"> engagements. This </w:t>
      </w:r>
      <w:r w:rsidRPr="006A48C1">
        <w:lastRenderedPageBreak/>
        <w:t>value-driven approach ensures efficiency, reliability, and continuous improvement across all key QA disciplines.</w:t>
      </w:r>
    </w:p>
    <w:p w14:paraId="3C4350AC" w14:textId="77777777" w:rsidR="00576D12" w:rsidRPr="006A48C1" w:rsidRDefault="00576D12" w:rsidP="00F2577D">
      <w:pPr>
        <w:pStyle w:val="CS-IBMResponseText"/>
      </w:pPr>
    </w:p>
    <w:p w14:paraId="4A646DD0" w14:textId="57F41D31" w:rsidR="00491270" w:rsidRPr="00AA4A1C" w:rsidRDefault="00491270" w:rsidP="00916318">
      <w:pPr>
        <w:pStyle w:val="CS-IBMResponseText"/>
        <w:rPr>
          <w:color w:val="0070C0"/>
          <w:sz w:val="28"/>
          <w:szCs w:val="28"/>
        </w:rPr>
      </w:pPr>
      <w:bookmarkStart w:id="6" w:name="_Toc211641138"/>
      <w:bookmarkStart w:id="7" w:name="OLE_LINK1"/>
      <w:r w:rsidRPr="00AA4A1C">
        <w:rPr>
          <w:color w:val="0070C0"/>
          <w:sz w:val="28"/>
          <w:szCs w:val="28"/>
        </w:rPr>
        <w:t>Approach</w:t>
      </w:r>
      <w:bookmarkEnd w:id="6"/>
    </w:p>
    <w:p w14:paraId="09D5B45C" w14:textId="77777777" w:rsidR="00491270" w:rsidRPr="00607442" w:rsidRDefault="00491270" w:rsidP="0068420A">
      <w:pPr>
        <w:pStyle w:val="CS-IBMBullet1"/>
      </w:pPr>
      <w:r w:rsidRPr="00607442">
        <w:rPr>
          <w:b/>
        </w:rPr>
        <w:t>Multi-Disciplinary QA Pods</w:t>
      </w:r>
      <w:r w:rsidRPr="00607442">
        <w:t xml:space="preserve"> – Functional, automation, AI, and performance specialists embedded into release cycles.</w:t>
      </w:r>
    </w:p>
    <w:p w14:paraId="6674E132" w14:textId="77777777" w:rsidR="00491270" w:rsidRPr="00607442" w:rsidRDefault="00491270" w:rsidP="0068420A">
      <w:pPr>
        <w:pStyle w:val="CS-IBMBullet1"/>
      </w:pPr>
      <w:r w:rsidRPr="00607442">
        <w:rPr>
          <w:b/>
        </w:rPr>
        <w:t xml:space="preserve">Innovation Pod </w:t>
      </w:r>
      <w:r w:rsidRPr="00607442">
        <w:t>– A dedicated QA innovation team piloting AI-driven testing, predictive defect analytics, and self-healing automation.</w:t>
      </w:r>
    </w:p>
    <w:p w14:paraId="2CF028B6" w14:textId="596B4684" w:rsidR="00491270" w:rsidRPr="00607442" w:rsidRDefault="00491270" w:rsidP="0068420A">
      <w:pPr>
        <w:pStyle w:val="CS-IBMBullet1"/>
      </w:pPr>
      <w:r w:rsidRPr="00607442">
        <w:rPr>
          <w:b/>
        </w:rPr>
        <w:t xml:space="preserve">Hybrid Staffing Model </w:t>
      </w:r>
      <w:r w:rsidRPr="00607442">
        <w:t xml:space="preserve">– </w:t>
      </w:r>
      <w:r w:rsidR="00710A44">
        <w:t>Gold River</w:t>
      </w:r>
      <w:r w:rsidR="00710A44" w:rsidRPr="00607442">
        <w:t xml:space="preserve"> </w:t>
      </w:r>
      <w:r w:rsidRPr="00607442">
        <w:t>onsite staff ensuring alignment with governance; Lansing, MI</w:t>
      </w:r>
      <w:r w:rsidR="00CF3725" w:rsidRPr="00607442">
        <w:t xml:space="preserve"> </w:t>
      </w:r>
      <w:r w:rsidRPr="00607442">
        <w:t xml:space="preserve"> team providing scalable innovation capacity.</w:t>
      </w:r>
      <w:r w:rsidR="00AD7FF8" w:rsidRPr="00AD7FF8">
        <w:t xml:space="preserve"> </w:t>
      </w:r>
      <w:r w:rsidR="00AD7FF8">
        <w:t>This structure delivers the best of both worlds—direct collaboration and rapid responsiveness onsite, paired with a cost-effective, innovation-focused team that accelerates test automation, analytics, and defect resolution. The result is greater QA velocity and insight than the current purely distributed vendor model provides.</w:t>
      </w:r>
    </w:p>
    <w:p w14:paraId="14569707" w14:textId="77777777" w:rsidR="00491270" w:rsidRPr="00607442" w:rsidRDefault="00491270" w:rsidP="0068420A">
      <w:pPr>
        <w:pStyle w:val="CS-IBMBullet1"/>
      </w:pPr>
      <w:r w:rsidRPr="00607442">
        <w:rPr>
          <w:b/>
        </w:rPr>
        <w:t>Continuous Improvement Cycle</w:t>
      </w:r>
      <w:r w:rsidRPr="00607442">
        <w:t xml:space="preserve"> – Leveraging IBM’s Intelligent Quality Platform (IQP+) for predictive analytics, anomaly detection, and automation optimization.</w:t>
      </w:r>
    </w:p>
    <w:p w14:paraId="33195885" w14:textId="77777777" w:rsidR="00AA4A1C" w:rsidRDefault="00AA4A1C" w:rsidP="00F2577D">
      <w:pPr>
        <w:pStyle w:val="CS-IBMResponseText"/>
        <w:rPr>
          <w:b/>
          <w:bCs/>
          <w:color w:val="0070C0"/>
        </w:rPr>
      </w:pPr>
    </w:p>
    <w:p w14:paraId="067FD1F3" w14:textId="77777777" w:rsidR="00491270" w:rsidRPr="00AA4A1C" w:rsidRDefault="00491270" w:rsidP="00F2577D">
      <w:pPr>
        <w:pStyle w:val="CS-IBMResponseText"/>
        <w:rPr>
          <w:color w:val="0070C0"/>
          <w:sz w:val="28"/>
          <w:szCs w:val="28"/>
        </w:rPr>
      </w:pPr>
      <w:r w:rsidRPr="00AA4A1C">
        <w:rPr>
          <w:color w:val="0070C0"/>
          <w:sz w:val="28"/>
          <w:szCs w:val="28"/>
        </w:rPr>
        <w:t>Solution</w:t>
      </w:r>
    </w:p>
    <w:p w14:paraId="70A61D8F" w14:textId="70830887" w:rsidR="00491270" w:rsidRPr="00607442" w:rsidRDefault="00491270" w:rsidP="00D47B73">
      <w:pPr>
        <w:pStyle w:val="CS-IBMBullet1"/>
      </w:pPr>
      <w:r w:rsidRPr="00607442">
        <w:rPr>
          <w:b/>
        </w:rPr>
        <w:t xml:space="preserve">Core </w:t>
      </w:r>
      <w:r w:rsidR="00AC3355">
        <w:rPr>
          <w:b/>
        </w:rPr>
        <w:t>Gold River</w:t>
      </w:r>
      <w:r w:rsidRPr="00607442">
        <w:rPr>
          <w:b/>
        </w:rPr>
        <w:t xml:space="preserve"> Leadership</w:t>
      </w:r>
      <w:r w:rsidRPr="00607442">
        <w:t xml:space="preserve"> – QA leads, PMO integration, and SMEs establish relationships, integrate into the CalSAWS environment, build partnerships with counterparts on the Consortium team</w:t>
      </w:r>
      <w:r w:rsidR="00C347CD">
        <w:t>, the CalSAWS JPA and PSC teams</w:t>
      </w:r>
      <w:r w:rsidRPr="00607442">
        <w:t xml:space="preserve"> as well as the other vendors who exist in the CalSAWS ecosystem, drive governance and maintain trust.</w:t>
      </w:r>
    </w:p>
    <w:p w14:paraId="2FC8DF53" w14:textId="77777777" w:rsidR="00491270" w:rsidRPr="00607442" w:rsidRDefault="00491270" w:rsidP="00D47B73">
      <w:pPr>
        <w:pStyle w:val="CS-IBMBullet1"/>
        <w:rPr>
          <w:rFonts w:eastAsia="IBM Plex Sans"/>
        </w:rPr>
      </w:pPr>
      <w:r w:rsidRPr="00607442">
        <w:rPr>
          <w:rFonts w:eastAsia="IBM Plex Sans"/>
          <w:b/>
        </w:rPr>
        <w:t>Proactive Capacity planning</w:t>
      </w:r>
      <w:r w:rsidRPr="00607442">
        <w:rPr>
          <w:rFonts w:eastAsia="IBM Plex Sans"/>
        </w:rPr>
        <w:t xml:space="preserve"> - Through proactive capacity planning, we anticipate future system changes, align staffing and planning to future major and minor CalSAWS release cycles, and ensure our team has the optimal mix of skills and resources to manage them effectively. This forward-looking approach mitigates potential bottlenecks and supports seamless execution, even during periods of significant system transformation. </w:t>
      </w:r>
    </w:p>
    <w:p w14:paraId="482C4E0A" w14:textId="6A47B0B4" w:rsidR="00491270" w:rsidRPr="00557212" w:rsidRDefault="00491270" w:rsidP="00D47B73">
      <w:pPr>
        <w:pStyle w:val="CS-IBMBullet1"/>
      </w:pPr>
      <w:r w:rsidRPr="00607442">
        <w:rPr>
          <w:rFonts w:eastAsia="IBM Plex Sans"/>
          <w:b/>
        </w:rPr>
        <w:t xml:space="preserve">Subject Matter Expertise (SME) </w:t>
      </w:r>
      <w:r w:rsidRPr="00607442">
        <w:rPr>
          <w:rFonts w:eastAsia="IBM Plex Sans"/>
        </w:rPr>
        <w:t>- Incorporating subject matter experts (SMEs) within our QA team will bring deep domain-specific knowledge to the table. Having SMEs on the project who understand the intricacies of the CalSAWS system will enable them to anticipate changes, develop targeted test cases, and provide insightful feedback. For instance, in our Florida Department of Children and Families (DCF) Florida Safe Families Network (FSFN) project, SMEs play a crucial role in understanding and testing complex state and federal regulations, ensuring compliance, and system accuracy. This ensures that when legislative or policy changes occur, our team is equipped to accurately interpret and translate them into technical requirements which enables prompt system updates and supports ongoing process improvement</w:t>
      </w:r>
      <w:r w:rsidRPr="00607442">
        <w:t xml:space="preserve"> release</w:t>
      </w:r>
      <w:r w:rsidRPr="00557212">
        <w:t>.</w:t>
      </w:r>
    </w:p>
    <w:p w14:paraId="66BABC22" w14:textId="49FF936B" w:rsidR="00491270" w:rsidRPr="00607442" w:rsidRDefault="00491270" w:rsidP="00D47B73">
      <w:pPr>
        <w:pStyle w:val="CS-IBMBullet1"/>
      </w:pPr>
      <w:r w:rsidRPr="00557212">
        <w:rPr>
          <w:b/>
        </w:rPr>
        <w:t xml:space="preserve">Scalable CIC Pods </w:t>
      </w:r>
      <w:r w:rsidRPr="00557212">
        <w:t xml:space="preserve">– </w:t>
      </w:r>
      <w:r w:rsidRPr="00607442">
        <w:t>QA engineers provide surge support and innovation pilots in parallel with day-to-day QA.</w:t>
      </w:r>
    </w:p>
    <w:bookmarkEnd w:id="7"/>
    <w:p w14:paraId="7BACD5C3" w14:textId="1E7A2AFD" w:rsidR="009C1981" w:rsidRDefault="005A2E01" w:rsidP="00142D1B">
      <w:pPr>
        <w:pStyle w:val="CS-IBMBullet1"/>
        <w:numPr>
          <w:ilvl w:val="0"/>
          <w:numId w:val="0"/>
        </w:numPr>
        <w:ind w:left="360" w:hanging="360"/>
      </w:pPr>
      <w:r>
        <w:rPr>
          <w:rFonts w:eastAsia="IBM Plex Sans"/>
          <w:noProof/>
        </w:rPr>
        <w:lastRenderedPageBreak/>
        <mc:AlternateContent>
          <mc:Choice Requires="wps">
            <w:drawing>
              <wp:anchor distT="0" distB="0" distL="114300" distR="114300" simplePos="0" relativeHeight="251658241" behindDoc="0" locked="0" layoutInCell="1" allowOverlap="1" wp14:anchorId="66C6621B" wp14:editId="2781C1AE">
                <wp:simplePos x="0" y="0"/>
                <wp:positionH relativeFrom="column">
                  <wp:posOffset>-5080</wp:posOffset>
                </wp:positionH>
                <wp:positionV relativeFrom="paragraph">
                  <wp:posOffset>250825</wp:posOffset>
                </wp:positionV>
                <wp:extent cx="5935345" cy="2172335"/>
                <wp:effectExtent l="19050" t="19050" r="27305" b="18415"/>
                <wp:wrapTopAndBottom/>
                <wp:docPr id="1753130904" name="Text Box 29"/>
                <wp:cNvGraphicFramePr/>
                <a:graphic xmlns:a="http://schemas.openxmlformats.org/drawingml/2006/main">
                  <a:graphicData uri="http://schemas.microsoft.com/office/word/2010/wordprocessingShape">
                    <wps:wsp>
                      <wps:cNvSpPr txBox="1"/>
                      <wps:spPr>
                        <a:xfrm>
                          <a:off x="0" y="0"/>
                          <a:ext cx="5935345" cy="2172335"/>
                        </a:xfrm>
                        <a:prstGeom prst="rect">
                          <a:avLst/>
                        </a:prstGeom>
                        <a:solidFill>
                          <a:schemeClr val="bg1"/>
                        </a:solidFill>
                        <a:ln w="28575">
                          <a:solidFill>
                            <a:srgbClr val="006699"/>
                          </a:solidFill>
                        </a:ln>
                      </wps:spPr>
                      <wps:txbx>
                        <w:txbxContent>
                          <w:p w14:paraId="3809CD04" w14:textId="00DA711A" w:rsidR="005A2E01" w:rsidRPr="000C7BF6" w:rsidDel="009C1981" w:rsidRDefault="005A2E01" w:rsidP="000C7BF6">
                            <w:pPr>
                              <w:pStyle w:val="CS-IBMResponseText"/>
                              <w:ind w:left="360" w:hanging="360"/>
                              <w:rPr>
                                <w:b/>
                                <w:bCs/>
                                <w:i/>
                                <w:iCs/>
                                <w:color w:val="00678F" w:themeColor="accent2" w:themeShade="BF"/>
                                <w:szCs w:val="22"/>
                              </w:rPr>
                            </w:pPr>
                            <w:r w:rsidRPr="000C7BF6">
                              <w:rPr>
                                <w:b/>
                                <w:bCs/>
                                <w:i/>
                                <w:iCs/>
                                <w:color w:val="00678F" w:themeColor="accent2" w:themeShade="BF"/>
                                <w:szCs w:val="22"/>
                              </w:rPr>
                              <w:t>Tools</w:t>
                            </w:r>
                          </w:p>
                          <w:p w14:paraId="531D4BB6" w14:textId="77777777" w:rsidR="00D90087" w:rsidRPr="00296A13" w:rsidRDefault="00D90087" w:rsidP="000C7BF6">
                            <w:pPr>
                              <w:pStyle w:val="CS-IBMBullet1"/>
                              <w:numPr>
                                <w:ilvl w:val="0"/>
                                <w:numId w:val="0"/>
                              </w:numPr>
                              <w:ind w:left="360" w:hanging="360"/>
                            </w:pPr>
                            <w:r w:rsidRPr="00296A13">
                              <w:rPr>
                                <w:b/>
                                <w:bCs/>
                              </w:rPr>
                              <w:t>AI-Enabled Test Automation Framework</w:t>
                            </w:r>
                            <w:r w:rsidRPr="00296A13">
                              <w:t>: Uses machine learning to self-heal scripts and reduce regression cycle time by up to 30%.</w:t>
                            </w:r>
                          </w:p>
                          <w:p w14:paraId="25EE66C0" w14:textId="77777777" w:rsidR="00D90087" w:rsidRPr="00296A13" w:rsidRDefault="00D90087" w:rsidP="00D90087">
                            <w:pPr>
                              <w:pStyle w:val="CS-IBMBullet1"/>
                            </w:pPr>
                            <w:r w:rsidRPr="00296A13">
                              <w:rPr>
                                <w:b/>
                                <w:bCs/>
                              </w:rPr>
                              <w:t>Combinatorial Test Design (CTD)</w:t>
                            </w:r>
                            <w:r w:rsidRPr="00296A13">
                              <w:t>: Optimizes regression suites by eliminating redundancies and cutting test prep time by 40%.</w:t>
                            </w:r>
                          </w:p>
                          <w:p w14:paraId="45E8A13A" w14:textId="77777777" w:rsidR="00D90087" w:rsidRPr="00DA0139" w:rsidRDefault="00D90087" w:rsidP="00D90087">
                            <w:pPr>
                              <w:pStyle w:val="CS-IBMBullet1"/>
                            </w:pPr>
                            <w:r w:rsidRPr="00296A13">
                              <w:rPr>
                                <w:b/>
                                <w:bCs/>
                              </w:rPr>
                              <w:t>Quality Index Dashboard</w:t>
                            </w:r>
                            <w:r w:rsidRPr="00296A13">
                              <w:t>: A client-facing tool that provides real-time visibility into QA KPIs, including defect density, release predictability, and citizen-impact metrics. This transparency enables the Consortium to align QA outcomes with strategic priorities</w:t>
                            </w:r>
                            <w:r w:rsidRPr="00DA0139">
                              <w:t>.</w:t>
                            </w:r>
                          </w:p>
                          <w:p w14:paraId="087E00DF" w14:textId="77777777" w:rsidR="00D90087" w:rsidRPr="00CB6778" w:rsidRDefault="00D90087" w:rsidP="00D90087">
                            <w:pPr>
                              <w:jc w:val="center"/>
                            </w:pPr>
                          </w:p>
                        </w:txbxContent>
                      </wps:txbx>
                      <wps:bodyPr rot="0" spcFirstLastPara="0" vertOverflow="overflow" horzOverflow="overflow" vert="horz" wrap="square" lIns="182880" tIns="91440" rIns="18288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C6621B" id="Text Box 29" o:spid="_x0000_s1027" type="#_x0000_t202" style="position:absolute;left:0;text-align:left;margin-left:-.4pt;margin-top:19.75pt;width:467.35pt;height:171.0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" fillcolor="white [3212]" strokecolor="#069" strokeweight="2.25pt">
                <v:textbox inset="14.4pt,7.2pt,14.4pt,7.2pt">
                  <w:txbxContent>
                    <w:p w14:paraId="3809CD04" w14:textId="00DA711A" w:rsidR="005A2E01" w:rsidRPr="000C7BF6" w:rsidDel="009C1981" w:rsidRDefault="005A2E01" w:rsidP="000C7BF6">
                      <w:pPr>
                        <w:pStyle w:val="CS-IBMResponseText"/>
                        <w:ind w:left="360" w:hanging="360"/>
                        <w:rPr>
                          <w:b/>
                          <w:bCs/>
                          <w:i/>
                          <w:iCs/>
                          <w:color w:val="00678F" w:themeColor="accent2" w:themeShade="BF"/>
                          <w:szCs w:val="22"/>
                        </w:rPr>
                      </w:pPr>
                      <w:r w:rsidRPr="000C7BF6">
                        <w:rPr>
                          <w:b/>
                          <w:bCs/>
                          <w:i/>
                          <w:iCs/>
                          <w:color w:val="00678F" w:themeColor="accent2" w:themeShade="BF"/>
                          <w:szCs w:val="22"/>
                        </w:rPr>
                        <w:t>Tools</w:t>
                      </w:r>
                    </w:p>
                    <w:p w14:paraId="531D4BB6" w14:textId="77777777" w:rsidR="00D90087" w:rsidRPr="00296A13" w:rsidRDefault="00D90087" w:rsidP="000C7BF6">
                      <w:pPr>
                        <w:pStyle w:val="CS-IBMBullet1"/>
                        <w:numPr>
                          <w:ilvl w:val="0"/>
                          <w:numId w:val="0"/>
                        </w:numPr>
                        <w:ind w:left="360" w:hanging="360"/>
                      </w:pPr>
                      <w:r w:rsidRPr="00296A13">
                        <w:rPr>
                          <w:b/>
                          <w:bCs/>
                        </w:rPr>
                        <w:t>AI-Enabled Test Automation Framework</w:t>
                      </w:r>
                      <w:r w:rsidRPr="00296A13">
                        <w:t>: Uses machine learning to self-heal scripts and reduce regression cycle time by up to 30%.</w:t>
                      </w:r>
                    </w:p>
                    <w:p w14:paraId="25EE66C0" w14:textId="77777777" w:rsidR="00D90087" w:rsidRPr="00296A13" w:rsidRDefault="00D90087" w:rsidP="00D90087">
                      <w:pPr>
                        <w:pStyle w:val="CS-IBMBullet1"/>
                      </w:pPr>
                      <w:r w:rsidRPr="00296A13">
                        <w:rPr>
                          <w:b/>
                          <w:bCs/>
                        </w:rPr>
                        <w:t>Combinatorial Test Design (CTD)</w:t>
                      </w:r>
                      <w:r w:rsidRPr="00296A13">
                        <w:t>: Optimizes regression suites by eliminating redundancies and cutting test prep time by 40%.</w:t>
                      </w:r>
                    </w:p>
                    <w:p w14:paraId="45E8A13A" w14:textId="77777777" w:rsidR="00D90087" w:rsidRPr="00DA0139" w:rsidRDefault="00D90087" w:rsidP="00D90087">
                      <w:pPr>
                        <w:pStyle w:val="CS-IBMBullet1"/>
                      </w:pPr>
                      <w:r w:rsidRPr="00296A13">
                        <w:rPr>
                          <w:b/>
                          <w:bCs/>
                        </w:rPr>
                        <w:t>Quality Index Dashboard</w:t>
                      </w:r>
                      <w:r w:rsidRPr="00296A13">
                        <w:t>: A client-facing tool that provides real-time visibility into QA KPIs, including defect density, release predictability, and citizen-impact metrics. This transparency enables the Consortium to align QA outcomes with strategic priorities</w:t>
                      </w:r>
                      <w:r w:rsidRPr="00DA0139">
                        <w:t>.</w:t>
                      </w:r>
                    </w:p>
                    <w:p w14:paraId="087E00DF" w14:textId="77777777" w:rsidR="00D90087" w:rsidRPr="00CB6778" w:rsidRDefault="00D90087" w:rsidP="00D90087">
                      <w:pPr>
                        <w:jc w:val="center"/>
                      </w:pPr>
                    </w:p>
                  </w:txbxContent>
                </v:textbox>
                <w10:wrap type="topAndBottom"/>
              </v:shape>
            </w:pict>
          </mc:Fallback>
        </mc:AlternateContent>
      </w:r>
    </w:p>
    <w:p w14:paraId="63F6460D" w14:textId="2BFA4FA2" w:rsidR="00D90087" w:rsidRDefault="00D90087" w:rsidP="005A2E01">
      <w:pPr>
        <w:pStyle w:val="CS-IBMResponseText"/>
        <w:rPr>
          <w:i/>
          <w:color w:val="EE0000"/>
        </w:rPr>
      </w:pPr>
    </w:p>
    <w:p w14:paraId="622DB3DE" w14:textId="4D9EA38E" w:rsidR="00ED1229" w:rsidRPr="00E264EB" w:rsidRDefault="009C1981" w:rsidP="00F2577D">
      <w:pPr>
        <w:pStyle w:val="CS-IBMResponseText"/>
        <w:rPr>
          <w:color w:val="0070C0"/>
          <w:sz w:val="28"/>
          <w:szCs w:val="28"/>
        </w:rPr>
      </w:pPr>
      <w:r>
        <w:rPr>
          <w:color w:val="0070C0"/>
          <w:sz w:val="28"/>
          <w:szCs w:val="28"/>
        </w:rPr>
        <w:t>Examples</w:t>
      </w:r>
    </w:p>
    <w:p w14:paraId="7D47208B" w14:textId="1FA0671C" w:rsidR="009725F8" w:rsidRPr="009725F8" w:rsidRDefault="009725F8" w:rsidP="009725F8">
      <w:pPr>
        <w:pStyle w:val="CS-IBMResponseText"/>
        <w:rPr>
          <w:rFonts w:eastAsia="IBM Plex Sans"/>
        </w:rPr>
      </w:pPr>
      <w:r w:rsidRPr="009725F8">
        <w:rPr>
          <w:rFonts w:eastAsia="IBM Plex Sans"/>
        </w:rPr>
        <w:t>IBM has delivered Quality Assurance services across some of the largest and most complex Health and Human Services (HHS) programs in the nation. These programs share many of the same characteristics as CalSAWS—multi-vendor environments, high regulatory oversight, continuous legislative change, cloud modernization, and large-scale citizen-facing systems.</w:t>
      </w:r>
    </w:p>
    <w:p w14:paraId="2CB86171" w14:textId="1F551F59" w:rsidR="009725F8" w:rsidRPr="009725F8" w:rsidRDefault="009725F8" w:rsidP="009725F8">
      <w:pPr>
        <w:pStyle w:val="CS-IBMResponseText"/>
        <w:rPr>
          <w:rFonts w:eastAsia="IBM Plex Sans"/>
        </w:rPr>
      </w:pPr>
      <w:r w:rsidRPr="009725F8">
        <w:rPr>
          <w:rFonts w:eastAsia="IBM Plex Sans"/>
        </w:rPr>
        <w:t>The examples below demonstrate IBM’s proven ability to:</w:t>
      </w:r>
    </w:p>
    <w:p w14:paraId="387F0A16" w14:textId="64F5D145" w:rsidR="009725F8" w:rsidRPr="009725F8" w:rsidRDefault="009725F8" w:rsidP="009725F8">
      <w:pPr>
        <w:pStyle w:val="CS-IBMBullet1"/>
        <w:rPr>
          <w:rFonts w:eastAsia="IBM Plex Sans"/>
        </w:rPr>
      </w:pPr>
      <w:r w:rsidRPr="009725F8">
        <w:rPr>
          <w:rFonts w:eastAsia="IBM Plex Sans"/>
        </w:rPr>
        <w:t>Operate within complex governance structures</w:t>
      </w:r>
    </w:p>
    <w:p w14:paraId="7CB2C641" w14:textId="1F0BE4DD" w:rsidR="009725F8" w:rsidRPr="009725F8" w:rsidRDefault="009725F8" w:rsidP="009725F8">
      <w:pPr>
        <w:pStyle w:val="CS-IBMBullet1"/>
        <w:rPr>
          <w:rFonts w:eastAsia="IBM Plex Sans"/>
        </w:rPr>
      </w:pPr>
      <w:r w:rsidRPr="009725F8">
        <w:rPr>
          <w:rFonts w:eastAsia="IBM Plex Sans"/>
        </w:rPr>
        <w:t>Integrate with multiple contractors and state stakeholders</w:t>
      </w:r>
    </w:p>
    <w:p w14:paraId="716CAAC4" w14:textId="25325501" w:rsidR="009725F8" w:rsidRPr="009725F8" w:rsidRDefault="009725F8" w:rsidP="009725F8">
      <w:pPr>
        <w:pStyle w:val="CS-IBMBullet1"/>
        <w:rPr>
          <w:rFonts w:eastAsia="IBM Plex Sans"/>
        </w:rPr>
      </w:pPr>
      <w:r w:rsidRPr="009725F8">
        <w:rPr>
          <w:rFonts w:eastAsia="IBM Plex Sans"/>
        </w:rPr>
        <w:t>Apply automation, AI, and DevSecOps to improve quality and speed</w:t>
      </w:r>
    </w:p>
    <w:p w14:paraId="70E0047B" w14:textId="267F6CB7" w:rsidR="009725F8" w:rsidRPr="009725F8" w:rsidRDefault="009725F8" w:rsidP="009725F8">
      <w:pPr>
        <w:pStyle w:val="CS-IBMBullet1"/>
        <w:rPr>
          <w:rFonts w:eastAsia="IBM Plex Sans"/>
        </w:rPr>
      </w:pPr>
      <w:r w:rsidRPr="009725F8">
        <w:rPr>
          <w:rFonts w:eastAsia="IBM Plex Sans"/>
        </w:rPr>
        <w:t>Scale QA pods and resources to meet evolving needs</w:t>
      </w:r>
    </w:p>
    <w:p w14:paraId="3930553E" w14:textId="4688865D" w:rsidR="00491270" w:rsidRPr="00DA0139" w:rsidRDefault="009725F8" w:rsidP="009725F8">
      <w:pPr>
        <w:pStyle w:val="CS-IBMBullet1"/>
        <w:rPr>
          <w:rFonts w:eastAsia="IBM Plex Sans"/>
        </w:rPr>
      </w:pPr>
      <w:r w:rsidRPr="009725F8">
        <w:rPr>
          <w:rFonts w:eastAsia="IBM Plex Sans"/>
        </w:rPr>
        <w:t>Deliver measurable outcomes in quality, cost, efficiency, and compliance</w:t>
      </w:r>
    </w:p>
    <w:p w14:paraId="733325BD" w14:textId="6EF99DA8" w:rsidR="001F2204" w:rsidRPr="00E264EB" w:rsidRDefault="00491270" w:rsidP="00714EC9">
      <w:pPr>
        <w:pStyle w:val="CS-IBMResponseText"/>
        <w:rPr>
          <w:rFonts w:eastAsia="IBM Plex Sans"/>
        </w:rPr>
      </w:pPr>
      <w:r w:rsidRPr="00DA0139">
        <w:rPr>
          <w:rFonts w:eastAsia="IBM Plex Sans"/>
        </w:rPr>
        <w:t>These engagements serve as direct proof points of IBM’s ability to support CalSAWS with the same level of rigor, innovation, and collaboration.</w:t>
      </w:r>
    </w:p>
    <w:p w14:paraId="2834E5DF" w14:textId="3C891D3B" w:rsidR="001F2204" w:rsidRDefault="00491270" w:rsidP="00714EC9">
      <w:pPr>
        <w:pStyle w:val="CS-IBMResponseText"/>
      </w:pPr>
      <w:r w:rsidRPr="00261E53">
        <w:rPr>
          <w:b/>
          <w:bCs/>
        </w:rPr>
        <w:t>California MMIS(CA-MMIS)</w:t>
      </w:r>
      <w:r w:rsidRPr="00DA0139">
        <w:t xml:space="preserve">: </w:t>
      </w:r>
    </w:p>
    <w:p w14:paraId="2D3288BE" w14:textId="70281710" w:rsidR="001F2204" w:rsidRPr="00576D12" w:rsidRDefault="00491270" w:rsidP="00576D12">
      <w:pPr>
        <w:pStyle w:val="CS-IBMResponseText"/>
        <w:ind w:left="720"/>
        <w:rPr>
          <w:rFonts w:eastAsia="IBM Plex Sans"/>
        </w:rPr>
      </w:pPr>
      <w:r w:rsidRPr="00DA0139">
        <w:rPr>
          <w:rFonts w:eastAsia="IBM Plex Sans"/>
        </w:rPr>
        <w:t>IBM staffing supports the CA-MMIS program, which includes varied economic models for different work streams, including fixed price for M&amp;O and PMO, time &amp; material for Development, and a combination of fixed capacity and time &amp; material for Testing services. Our 13-week staffing model enables flexible deployment of required skills and experience at the right time to support project needs from conception to implementation per project requirements.</w:t>
      </w:r>
    </w:p>
    <w:p w14:paraId="4BDC4EB0" w14:textId="2AF86C99" w:rsidR="00491270" w:rsidRPr="00AA4A1C" w:rsidRDefault="00491270" w:rsidP="00AA4A1C">
      <w:pPr>
        <w:pStyle w:val="CS-IBMResponseText"/>
        <w:rPr>
          <w:rFonts w:eastAsia="IBM Plex Sans"/>
          <w:b/>
        </w:rPr>
      </w:pPr>
      <w:r w:rsidRPr="00C9759C">
        <w:rPr>
          <w:rFonts w:eastAsia="IBM Plex Sans"/>
          <w:b/>
        </w:rPr>
        <w:t>Aspects of our 13-Week Staffing Model include:</w:t>
      </w:r>
    </w:p>
    <w:p w14:paraId="3668951B" w14:textId="1C9F7020" w:rsidR="004C791F" w:rsidRDefault="004C791F" w:rsidP="004C791F">
      <w:pPr>
        <w:pStyle w:val="Caption"/>
        <w:keepNext/>
        <w:jc w:val="center"/>
      </w:pPr>
      <w:bookmarkStart w:id="8" w:name="_Toc213069334"/>
      <w:r>
        <w:lastRenderedPageBreak/>
        <w:t xml:space="preserve">Table 4.1.1. </w:t>
      </w:r>
      <w:r>
        <w:fldChar w:fldCharType="begin"/>
      </w:r>
      <w:r>
        <w:instrText xml:space="preserve"> SEQ Table_4.1.1. \* ARABIC </w:instrText>
      </w:r>
      <w:r>
        <w:fldChar w:fldCharType="separate"/>
      </w:r>
      <w:r w:rsidR="00FB29F8">
        <w:rPr>
          <w:noProof/>
        </w:rPr>
        <w:t>1</w:t>
      </w:r>
      <w:r>
        <w:fldChar w:fldCharType="end"/>
      </w:r>
      <w:r>
        <w:t xml:space="preserve"> </w:t>
      </w:r>
      <w:r w:rsidRPr="006671C3">
        <w:t>CAMMIS 13-Week S</w:t>
      </w:r>
      <w:r>
        <w:t>t</w:t>
      </w:r>
      <w:r w:rsidRPr="006671C3">
        <w:t>affing Model</w:t>
      </w:r>
      <w:bookmarkEnd w:id="8"/>
    </w:p>
    <w:tbl>
      <w:tblPr>
        <w:tblStyle w:val="GridTable1Light-Accent2"/>
        <w:tblW w:w="10265" w:type="dxa"/>
        <w:tblInd w:w="0" w:type="dxa"/>
        <w:tblLook w:val="0480" w:firstRow="0" w:lastRow="0" w:firstColumn="1" w:lastColumn="0" w:noHBand="0" w:noVBand="1"/>
      </w:tblPr>
      <w:tblGrid>
        <w:gridCol w:w="4034"/>
        <w:gridCol w:w="6231"/>
      </w:tblGrid>
      <w:tr w:rsidR="00D56292" w:rsidRPr="00AA4A1C" w14:paraId="46C64536" w14:textId="77777777" w:rsidTr="00557B4B">
        <w:trPr>
          <w:trHeight w:val="1214"/>
        </w:trPr>
        <w:tc>
          <w:tcPr>
            <w:cnfStyle w:val="001000000000" w:firstRow="0" w:lastRow="0" w:firstColumn="1" w:lastColumn="0" w:oddVBand="0" w:evenVBand="0" w:oddHBand="0" w:evenHBand="0" w:firstRowFirstColumn="0" w:firstRowLastColumn="0" w:lastRowFirstColumn="0" w:lastRowLastColumn="0"/>
            <w:tcW w:w="4034" w:type="dxa"/>
            <w:shd w:val="clear" w:color="auto" w:fill="BFEDFF" w:themeFill="accent2" w:themeFillTint="33"/>
          </w:tcPr>
          <w:p w14:paraId="0415360E" w14:textId="4CAF8D9B" w:rsidR="00AA4A1C" w:rsidRPr="000C7BF6" w:rsidRDefault="00AA4A1C" w:rsidP="00AA4A1C">
            <w:pPr>
              <w:pStyle w:val="CS-IBMBullet1"/>
              <w:numPr>
                <w:ilvl w:val="0"/>
                <w:numId w:val="0"/>
              </w:numPr>
              <w:rPr>
                <w:rFonts w:eastAsia="IBM Plex Sans"/>
                <w:color w:val="00678F" w:themeColor="accent2" w:themeShade="BF"/>
                <w:sz w:val="20"/>
                <w:szCs w:val="20"/>
              </w:rPr>
            </w:pPr>
            <w:r w:rsidRPr="000C7BF6">
              <w:rPr>
                <w:rFonts w:eastAsia="IBM Plex Sans"/>
                <w:color w:val="00678F" w:themeColor="accent2" w:themeShade="BF"/>
                <w:sz w:val="20"/>
                <w:szCs w:val="20"/>
              </w:rPr>
              <w:t>A dedicated IBM Team</w:t>
            </w:r>
          </w:p>
        </w:tc>
        <w:tc>
          <w:tcPr>
            <w:tcW w:w="6231" w:type="dxa"/>
          </w:tcPr>
          <w:p w14:paraId="3CC759A1" w14:textId="60E30F4D" w:rsidR="00AA4A1C" w:rsidRPr="00F44652" w:rsidRDefault="00AA4A1C" w:rsidP="00AA4A1C">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20"/>
              </w:rPr>
            </w:pPr>
            <w:r w:rsidRPr="00F44652">
              <w:rPr>
                <w:rFonts w:eastAsia="IBM Plex Sans"/>
                <w:sz w:val="20"/>
                <w:szCs w:val="20"/>
              </w:rPr>
              <w:t>Organized to address changes in business needs, to forecast resource requirements, to address capacity planning needs, and to suggest changes to the sourcing solution, based on demand.</w:t>
            </w:r>
          </w:p>
        </w:tc>
      </w:tr>
      <w:tr w:rsidR="00D56292" w:rsidRPr="00AA4A1C" w14:paraId="3B041CDE" w14:textId="77777777" w:rsidTr="00557B4B">
        <w:trPr>
          <w:trHeight w:val="114"/>
        </w:trPr>
        <w:tc>
          <w:tcPr>
            <w:cnfStyle w:val="001000000000" w:firstRow="0" w:lastRow="0" w:firstColumn="1" w:lastColumn="0" w:oddVBand="0" w:evenVBand="0" w:oddHBand="0" w:evenHBand="0" w:firstRowFirstColumn="0" w:firstRowLastColumn="0" w:lastRowFirstColumn="0" w:lastRowLastColumn="0"/>
            <w:tcW w:w="4034" w:type="dxa"/>
            <w:shd w:val="clear" w:color="auto" w:fill="BFEDFF" w:themeFill="accent2" w:themeFillTint="33"/>
          </w:tcPr>
          <w:p w14:paraId="3F5A0CA6" w14:textId="07B98577" w:rsidR="00AA4A1C" w:rsidRPr="000C7BF6" w:rsidRDefault="00AA4A1C" w:rsidP="00AA4A1C">
            <w:pPr>
              <w:pStyle w:val="CS-IBMBullet1"/>
              <w:numPr>
                <w:ilvl w:val="0"/>
                <w:numId w:val="0"/>
              </w:numPr>
              <w:rPr>
                <w:rFonts w:eastAsia="IBM Plex Sans"/>
                <w:color w:val="00678F" w:themeColor="accent2" w:themeShade="BF"/>
                <w:sz w:val="20"/>
                <w:szCs w:val="20"/>
              </w:rPr>
            </w:pPr>
            <w:r w:rsidRPr="000C7BF6">
              <w:rPr>
                <w:rFonts w:eastAsia="IBM Plex Sans"/>
                <w:color w:val="00678F" w:themeColor="accent2" w:themeShade="BF"/>
                <w:sz w:val="20"/>
                <w:szCs w:val="20"/>
              </w:rPr>
              <w:t>A Staff Forecasting Tool</w:t>
            </w:r>
          </w:p>
        </w:tc>
        <w:tc>
          <w:tcPr>
            <w:tcW w:w="6231" w:type="dxa"/>
          </w:tcPr>
          <w:p w14:paraId="7CA40296" w14:textId="167A3A49" w:rsidR="00AA4A1C" w:rsidRPr="00F44652" w:rsidRDefault="00AA4A1C" w:rsidP="00AA4A1C">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20"/>
              </w:rPr>
            </w:pPr>
            <w:r w:rsidRPr="00F44652">
              <w:rPr>
                <w:rFonts w:eastAsia="IBM Plex Sans"/>
                <w:sz w:val="20"/>
                <w:szCs w:val="20"/>
              </w:rPr>
              <w:t>Developed by IBM that generates a 13-week rolling look-ahead. This ‘look ahead’ is transparently shared with DHCS to keep them up to date on staffing forecasts.</w:t>
            </w:r>
          </w:p>
        </w:tc>
      </w:tr>
      <w:tr w:rsidR="00D56292" w:rsidRPr="00AA4A1C" w14:paraId="629E1C7C" w14:textId="77777777" w:rsidTr="00557B4B">
        <w:trPr>
          <w:trHeight w:val="114"/>
        </w:trPr>
        <w:tc>
          <w:tcPr>
            <w:cnfStyle w:val="001000000000" w:firstRow="0" w:lastRow="0" w:firstColumn="1" w:lastColumn="0" w:oddVBand="0" w:evenVBand="0" w:oddHBand="0" w:evenHBand="0" w:firstRowFirstColumn="0" w:firstRowLastColumn="0" w:lastRowFirstColumn="0" w:lastRowLastColumn="0"/>
            <w:tcW w:w="4034" w:type="dxa"/>
            <w:shd w:val="clear" w:color="auto" w:fill="BFEDFF" w:themeFill="accent2" w:themeFillTint="33"/>
          </w:tcPr>
          <w:p w14:paraId="27D44B8A" w14:textId="0A130073" w:rsidR="00AA4A1C" w:rsidRPr="000C7BF6" w:rsidRDefault="00AA4A1C" w:rsidP="00AA4A1C">
            <w:pPr>
              <w:pStyle w:val="CS-IBMBullet1"/>
              <w:numPr>
                <w:ilvl w:val="0"/>
                <w:numId w:val="0"/>
              </w:numPr>
              <w:rPr>
                <w:rFonts w:eastAsia="IBM Plex Sans"/>
                <w:color w:val="00678F" w:themeColor="accent2" w:themeShade="BF"/>
                <w:sz w:val="20"/>
                <w:szCs w:val="20"/>
              </w:rPr>
            </w:pPr>
            <w:r w:rsidRPr="000C7BF6">
              <w:rPr>
                <w:rFonts w:eastAsia="IBM Plex Sans"/>
                <w:color w:val="00678F" w:themeColor="accent2" w:themeShade="BF"/>
                <w:sz w:val="20"/>
                <w:szCs w:val="20"/>
              </w:rPr>
              <w:t>A proactive approach between the state and</w:t>
            </w:r>
          </w:p>
        </w:tc>
        <w:tc>
          <w:tcPr>
            <w:tcW w:w="6231" w:type="dxa"/>
          </w:tcPr>
          <w:p w14:paraId="1662AD46" w14:textId="1E8E0042" w:rsidR="00AA4A1C" w:rsidRPr="00F44652" w:rsidRDefault="00AA4A1C" w:rsidP="00AA4A1C">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20"/>
              </w:rPr>
            </w:pPr>
            <w:r w:rsidRPr="00F44652">
              <w:rPr>
                <w:rFonts w:eastAsia="IBM Plex Sans"/>
                <w:sz w:val="20"/>
                <w:szCs w:val="20"/>
              </w:rPr>
              <w:t>To take the needed action to identify the necessary skills and staff to release stalled projects to meet the yearly commitment of development hours.</w:t>
            </w:r>
          </w:p>
        </w:tc>
      </w:tr>
      <w:tr w:rsidR="00D56292" w:rsidRPr="00AA4A1C" w14:paraId="77265F6A" w14:textId="77777777" w:rsidTr="00557B4B">
        <w:trPr>
          <w:trHeight w:val="1708"/>
        </w:trPr>
        <w:tc>
          <w:tcPr>
            <w:cnfStyle w:val="001000000000" w:firstRow="0" w:lastRow="0" w:firstColumn="1" w:lastColumn="0" w:oddVBand="0" w:evenVBand="0" w:oddHBand="0" w:evenHBand="0" w:firstRowFirstColumn="0" w:firstRowLastColumn="0" w:lastRowFirstColumn="0" w:lastRowLastColumn="0"/>
            <w:tcW w:w="4034" w:type="dxa"/>
            <w:shd w:val="clear" w:color="auto" w:fill="BFEDFF" w:themeFill="accent2" w:themeFillTint="33"/>
          </w:tcPr>
          <w:p w14:paraId="66B7BAE1" w14:textId="5849BB39" w:rsidR="00AA4A1C" w:rsidRPr="000C7BF6" w:rsidRDefault="00AA4A1C" w:rsidP="00AA4A1C">
            <w:pPr>
              <w:pStyle w:val="CS-IBMBullet1"/>
              <w:numPr>
                <w:ilvl w:val="0"/>
                <w:numId w:val="0"/>
              </w:numPr>
              <w:rPr>
                <w:rFonts w:eastAsia="IBM Plex Sans"/>
                <w:color w:val="00678F" w:themeColor="accent2" w:themeShade="BF"/>
                <w:sz w:val="20"/>
                <w:szCs w:val="20"/>
              </w:rPr>
            </w:pPr>
            <w:r w:rsidRPr="000C7BF6">
              <w:rPr>
                <w:rFonts w:eastAsia="IBM Plex Sans"/>
                <w:color w:val="00678F" w:themeColor="accent2" w:themeShade="BF"/>
                <w:sz w:val="20"/>
                <w:szCs w:val="20"/>
              </w:rPr>
              <w:t>A monthly, comprehensive Staff Loading Report</w:t>
            </w:r>
          </w:p>
        </w:tc>
        <w:tc>
          <w:tcPr>
            <w:tcW w:w="6231" w:type="dxa"/>
          </w:tcPr>
          <w:p w14:paraId="318930EA" w14:textId="640CB217" w:rsidR="00AA4A1C" w:rsidRPr="00F44652" w:rsidRDefault="00AA4A1C" w:rsidP="00AA4A1C">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20"/>
              </w:rPr>
            </w:pPr>
            <w:r w:rsidRPr="00F44652">
              <w:rPr>
                <w:rFonts w:eastAsia="IBM Plex Sans"/>
                <w:sz w:val="20"/>
                <w:szCs w:val="20"/>
              </w:rPr>
              <w:t>Furnished by IBM, in alignment with our commitment to full collaboration and transparency with the state. This report details resource assignments and verifies these assignments adhere to the stipulations outlined in our contractual agreements.</w:t>
            </w:r>
          </w:p>
        </w:tc>
      </w:tr>
      <w:tr w:rsidR="00D56292" w:rsidRPr="00AA4A1C" w14:paraId="76F38613" w14:textId="77777777" w:rsidTr="00557B4B">
        <w:trPr>
          <w:trHeight w:val="402"/>
        </w:trPr>
        <w:tc>
          <w:tcPr>
            <w:cnfStyle w:val="001000000000" w:firstRow="0" w:lastRow="0" w:firstColumn="1" w:lastColumn="0" w:oddVBand="0" w:evenVBand="0" w:oddHBand="0" w:evenHBand="0" w:firstRowFirstColumn="0" w:firstRowLastColumn="0" w:lastRowFirstColumn="0" w:lastRowLastColumn="0"/>
            <w:tcW w:w="4034" w:type="dxa"/>
            <w:shd w:val="clear" w:color="auto" w:fill="BFEDFF" w:themeFill="accent2" w:themeFillTint="33"/>
          </w:tcPr>
          <w:p w14:paraId="1627609E" w14:textId="664A00DF" w:rsidR="00AA4A1C" w:rsidRPr="000C7BF6" w:rsidRDefault="00AA4A1C" w:rsidP="00AA4A1C">
            <w:pPr>
              <w:pStyle w:val="CS-IBMBullet1"/>
              <w:numPr>
                <w:ilvl w:val="0"/>
                <w:numId w:val="0"/>
              </w:numPr>
              <w:rPr>
                <w:rFonts w:eastAsia="IBM Plex Sans"/>
                <w:color w:val="00678F" w:themeColor="accent2" w:themeShade="BF"/>
                <w:sz w:val="20"/>
                <w:szCs w:val="20"/>
              </w:rPr>
            </w:pPr>
            <w:r w:rsidRPr="000C7BF6">
              <w:rPr>
                <w:rFonts w:eastAsia="IBM Plex Sans"/>
                <w:color w:val="00678F" w:themeColor="accent2" w:themeShade="BF"/>
                <w:sz w:val="20"/>
                <w:szCs w:val="20"/>
              </w:rPr>
              <w:t>A comprehensive cross-training program</w:t>
            </w:r>
          </w:p>
        </w:tc>
        <w:tc>
          <w:tcPr>
            <w:tcW w:w="6231" w:type="dxa"/>
          </w:tcPr>
          <w:p w14:paraId="7FB251A8" w14:textId="461A30B1" w:rsidR="00AA4A1C" w:rsidRPr="00F44652" w:rsidRDefault="00AA4A1C" w:rsidP="00AA4A1C">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20"/>
              </w:rPr>
            </w:pPr>
            <w:r w:rsidRPr="00F44652">
              <w:rPr>
                <w:rFonts w:eastAsia="IBM Plex Sans"/>
                <w:sz w:val="20"/>
                <w:szCs w:val="20"/>
              </w:rPr>
              <w:t>Based on our forecast creating a capable, efficient, flexible, multi-skilled team</w:t>
            </w:r>
            <w:r w:rsidR="00ED6BAA">
              <w:rPr>
                <w:rFonts w:eastAsia="IBM Plex Sans"/>
                <w:sz w:val="20"/>
                <w:szCs w:val="20"/>
              </w:rPr>
              <w:t>, o</w:t>
            </w:r>
            <w:r w:rsidRPr="00F44652">
              <w:rPr>
                <w:rFonts w:eastAsia="IBM Plex Sans"/>
                <w:sz w:val="20"/>
                <w:szCs w:val="20"/>
              </w:rPr>
              <w:t>ur training program allows us to scale our staff by adding incremental resources or reducing resources quickly and efficiently as per demand for various projects.</w:t>
            </w:r>
          </w:p>
        </w:tc>
      </w:tr>
      <w:tr w:rsidR="00D56292" w:rsidRPr="00AA4A1C" w14:paraId="71B4B82C" w14:textId="77777777" w:rsidTr="00557B4B">
        <w:trPr>
          <w:trHeight w:val="2609"/>
        </w:trPr>
        <w:tc>
          <w:tcPr>
            <w:cnfStyle w:val="001000000000" w:firstRow="0" w:lastRow="0" w:firstColumn="1" w:lastColumn="0" w:oddVBand="0" w:evenVBand="0" w:oddHBand="0" w:evenHBand="0" w:firstRowFirstColumn="0" w:firstRowLastColumn="0" w:lastRowFirstColumn="0" w:lastRowLastColumn="0"/>
            <w:tcW w:w="4034" w:type="dxa"/>
            <w:shd w:val="clear" w:color="auto" w:fill="BFEDFF" w:themeFill="accent2" w:themeFillTint="33"/>
          </w:tcPr>
          <w:p w14:paraId="776B8441" w14:textId="39F18704" w:rsidR="00AA4A1C" w:rsidRPr="000C7BF6" w:rsidRDefault="00AA4A1C" w:rsidP="00AA4A1C">
            <w:pPr>
              <w:pStyle w:val="CS-IBMBullet1"/>
              <w:numPr>
                <w:ilvl w:val="0"/>
                <w:numId w:val="0"/>
              </w:numPr>
              <w:rPr>
                <w:rFonts w:eastAsia="IBM Plex Sans"/>
                <w:color w:val="00678F" w:themeColor="accent2" w:themeShade="BF"/>
                <w:sz w:val="20"/>
                <w:szCs w:val="20"/>
              </w:rPr>
            </w:pPr>
            <w:r w:rsidRPr="000C7BF6">
              <w:rPr>
                <w:rFonts w:eastAsia="IBM Plex Sans"/>
                <w:color w:val="00678F" w:themeColor="accent2" w:themeShade="BF"/>
                <w:sz w:val="20"/>
                <w:szCs w:val="20"/>
              </w:rPr>
              <w:t>IBM consistent delivery</w:t>
            </w:r>
          </w:p>
        </w:tc>
        <w:tc>
          <w:tcPr>
            <w:tcW w:w="6231" w:type="dxa"/>
          </w:tcPr>
          <w:p w14:paraId="72BDAD78" w14:textId="7E49E1A5" w:rsidR="00AA4A1C" w:rsidRPr="00F44652" w:rsidRDefault="00AA4A1C" w:rsidP="00AA4A1C">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20"/>
              </w:rPr>
            </w:pPr>
            <w:r w:rsidRPr="00F44652">
              <w:rPr>
                <w:rFonts w:eastAsia="IBM Plex Sans"/>
                <w:sz w:val="20"/>
                <w:szCs w:val="20"/>
              </w:rPr>
              <w:t xml:space="preserve">Delivery of an average of 270,000+ development work hours per year, managing more than 50 diverse projects. These projects ranged from 500 to 20,000 hours. All projects strictly adhere to a publicly documented and approved release and change control board process. Our consistent delivery is achieved across the </w:t>
            </w:r>
            <w:r w:rsidR="00ED6BAA" w:rsidRPr="00F44652">
              <w:rPr>
                <w:rFonts w:eastAsia="IBM Plex Sans"/>
                <w:sz w:val="20"/>
                <w:szCs w:val="20"/>
              </w:rPr>
              <w:t>twelve-standard</w:t>
            </w:r>
            <w:r w:rsidRPr="00F44652">
              <w:rPr>
                <w:rFonts w:eastAsia="IBM Plex Sans"/>
                <w:sz w:val="20"/>
                <w:szCs w:val="20"/>
              </w:rPr>
              <w:t xml:space="preserve"> monthly releases.</w:t>
            </w:r>
          </w:p>
        </w:tc>
      </w:tr>
      <w:tr w:rsidR="00D56292" w:rsidRPr="00AA4A1C" w14:paraId="4B825FE4" w14:textId="77777777" w:rsidTr="00557B4B">
        <w:trPr>
          <w:trHeight w:val="1763"/>
        </w:trPr>
        <w:tc>
          <w:tcPr>
            <w:cnfStyle w:val="001000000000" w:firstRow="0" w:lastRow="0" w:firstColumn="1" w:lastColumn="0" w:oddVBand="0" w:evenVBand="0" w:oddHBand="0" w:evenHBand="0" w:firstRowFirstColumn="0" w:firstRowLastColumn="0" w:lastRowFirstColumn="0" w:lastRowLastColumn="0"/>
            <w:tcW w:w="4034" w:type="dxa"/>
            <w:shd w:val="clear" w:color="auto" w:fill="BFEDFF" w:themeFill="accent2" w:themeFillTint="33"/>
          </w:tcPr>
          <w:p w14:paraId="3D0A5942" w14:textId="7AA9448B" w:rsidR="00AA4A1C" w:rsidRPr="000C7BF6" w:rsidRDefault="00AA4A1C" w:rsidP="00AA4A1C">
            <w:pPr>
              <w:pStyle w:val="CS-IBMBullet1"/>
              <w:numPr>
                <w:ilvl w:val="0"/>
                <w:numId w:val="0"/>
              </w:numPr>
              <w:rPr>
                <w:rFonts w:eastAsia="IBM Plex Sans"/>
                <w:color w:val="00678F" w:themeColor="accent2" w:themeShade="BF"/>
                <w:sz w:val="20"/>
                <w:szCs w:val="20"/>
              </w:rPr>
            </w:pPr>
            <w:r w:rsidRPr="000C7BF6">
              <w:rPr>
                <w:rFonts w:eastAsia="IBM Plex Sans"/>
                <w:color w:val="00678F" w:themeColor="accent2" w:themeShade="BF"/>
                <w:sz w:val="20"/>
                <w:szCs w:val="20"/>
              </w:rPr>
              <w:t>Staff retention and succession planning</w:t>
            </w:r>
          </w:p>
        </w:tc>
        <w:tc>
          <w:tcPr>
            <w:tcW w:w="6231" w:type="dxa"/>
          </w:tcPr>
          <w:p w14:paraId="510F1AC2" w14:textId="160BF23B" w:rsidR="00AA4A1C" w:rsidRPr="00F44652" w:rsidRDefault="00AA4A1C" w:rsidP="00AA4A1C">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20"/>
              </w:rPr>
            </w:pPr>
            <w:r w:rsidRPr="00F44652">
              <w:rPr>
                <w:rFonts w:eastAsia="IBM Plex Sans"/>
                <w:sz w:val="20"/>
                <w:szCs w:val="20"/>
              </w:rPr>
              <w:t>Significantly reduce the risk of insufficient resources to deliver. Our staffing model and training approach, in California, has resulted in 70% of CA-MMIS team members remaining onboard for more than seven years.</w:t>
            </w:r>
          </w:p>
        </w:tc>
      </w:tr>
    </w:tbl>
    <w:p w14:paraId="185DB87C" w14:textId="77777777" w:rsidR="00AA4A1C" w:rsidRPr="00DA0139" w:rsidRDefault="00AA4A1C" w:rsidP="00AA4A1C">
      <w:pPr>
        <w:pStyle w:val="CS-IBMBullet1"/>
        <w:numPr>
          <w:ilvl w:val="0"/>
          <w:numId w:val="0"/>
        </w:numPr>
        <w:ind w:left="357" w:hanging="357"/>
        <w:rPr>
          <w:rFonts w:eastAsia="IBM Plex Sans"/>
        </w:rPr>
      </w:pPr>
    </w:p>
    <w:p w14:paraId="6B7D64A4" w14:textId="7D631ADC" w:rsidR="0046718A" w:rsidRPr="00DA0139" w:rsidRDefault="0046718A" w:rsidP="0046718A">
      <w:pPr>
        <w:pStyle w:val="CS-IBMBullet1"/>
        <w:numPr>
          <w:ilvl w:val="0"/>
          <w:numId w:val="0"/>
        </w:numPr>
        <w:rPr>
          <w:rFonts w:eastAsia="IBM Plex Sans"/>
        </w:rPr>
      </w:pPr>
      <w:r>
        <w:t xml:space="preserve">IBM’s success in the California MMIS program demonstrates our ability to operate effectively within large, multi-vendor public assistance environments—delivering consistent quality, transparency, and adaptability under rigorous governance frameworks. The same disciplined yet flexible 13-week staffing model that enabled IBM to meet dynamic workload demands and sustain high staff retention in CA-MMIS directly translates to CalSAWS’ needs. By applying this proven approach, IBM ensures that the CalSAWS Consortium benefits from a continuously right-sized, fully trained, and </w:t>
      </w:r>
      <w:r>
        <w:lastRenderedPageBreak/>
        <w:t>mission-aligned QA workforce capable of adapting to evolving policy mandates, release schedules, and modernization initiatives without disruption to service delivery. This model reinforces the Consortium’s vision of reliability, collaboration, and efficiency across all 58 counties and partner vendors.</w:t>
      </w:r>
    </w:p>
    <w:p w14:paraId="37EB8F06" w14:textId="77777777" w:rsidR="00E27961" w:rsidRPr="00DA0139" w:rsidRDefault="00E27961" w:rsidP="00F2577D">
      <w:pPr>
        <w:pStyle w:val="CS-IBMResponseText"/>
      </w:pPr>
    </w:p>
    <w:p w14:paraId="2E00CE91" w14:textId="77777777" w:rsidR="001F2204" w:rsidRDefault="00491270" w:rsidP="00714EC9">
      <w:pPr>
        <w:pStyle w:val="CS-IBMResponseText"/>
      </w:pPr>
      <w:r w:rsidRPr="00846DDE">
        <w:rPr>
          <w:b/>
          <w:bCs/>
        </w:rPr>
        <w:t>New York Health Benefits Exchange</w:t>
      </w:r>
      <w:r w:rsidRPr="00DA0139">
        <w:t xml:space="preserve">: </w:t>
      </w:r>
    </w:p>
    <w:p w14:paraId="227E2ADB" w14:textId="62EBF56B" w:rsidR="00491270" w:rsidRPr="00DA0139" w:rsidRDefault="00491270" w:rsidP="001F2204">
      <w:pPr>
        <w:pStyle w:val="CS-IBMResponseText"/>
        <w:ind w:left="720"/>
      </w:pPr>
      <w:r w:rsidRPr="00DA0139">
        <w:t>IBM has successfully integrated an onshore- and US</w:t>
      </w:r>
      <w:r w:rsidR="0063415F" w:rsidRPr="00DA0139">
        <w:t>-based</w:t>
      </w:r>
      <w:r w:rsidRPr="00DA0139">
        <w:t xml:space="preserve"> CIC staffing model in various government and non-government projects. One illustrative example is IBM's involvement with the State of New York Health Benefits Exchange. In this project, IBM </w:t>
      </w:r>
      <w:r w:rsidR="00504207">
        <w:t xml:space="preserve">served </w:t>
      </w:r>
      <w:r w:rsidR="00031964">
        <w:t xml:space="preserve">as </w:t>
      </w:r>
      <w:r w:rsidR="00504207">
        <w:t xml:space="preserve">the </w:t>
      </w:r>
      <w:r w:rsidR="00031964">
        <w:t>overall SI partner</w:t>
      </w:r>
      <w:r w:rsidR="00504207">
        <w:t xml:space="preserve">, of which </w:t>
      </w:r>
      <w:r w:rsidR="002C3472">
        <w:t xml:space="preserve">IBM had QA Service responsibilities. For the State of New York </w:t>
      </w:r>
      <w:r w:rsidR="00322041">
        <w:t>H</w:t>
      </w:r>
      <w:r w:rsidR="002C3472">
        <w:t>ealth Benefits Exchange</w:t>
      </w:r>
      <w:r w:rsidR="00322041">
        <w:t>, IBM</w:t>
      </w:r>
      <w:r w:rsidR="00BA5842">
        <w:t xml:space="preserve"> </w:t>
      </w:r>
      <w:r w:rsidRPr="00DA0139">
        <w:t>utilized a strategic mix of onshore and</w:t>
      </w:r>
      <w:r w:rsidR="00CF3725">
        <w:t xml:space="preserve"> </w:t>
      </w:r>
      <w:r w:rsidRPr="00DA0139">
        <w:t xml:space="preserve">CIC resources to </w:t>
      </w:r>
      <w:r w:rsidR="00322041">
        <w:t xml:space="preserve">effectively </w:t>
      </w:r>
      <w:r w:rsidRPr="00DA0139">
        <w:t>manage the system</w:t>
      </w:r>
      <w:r w:rsidR="00322041">
        <w:t>.</w:t>
      </w:r>
      <w:r w:rsidRPr="00DA0139">
        <w:t xml:space="preserve"> IBM’s onshore team provided leadership and project management expertise from within New York, ensuring direct engagement with state stakeholders and regulatory bodies to align system updates with legislative requirements. This local presence was crucial for bridging the gap between project requirements and technological execution, offering real-time decision-making and governance oversight.</w:t>
      </w:r>
    </w:p>
    <w:p w14:paraId="5D3ED14C" w14:textId="6F9BD37E" w:rsidR="00491270" w:rsidRDefault="00491270" w:rsidP="001F2204">
      <w:pPr>
        <w:pStyle w:val="CS-IBMResponseText"/>
        <w:ind w:left="720"/>
      </w:pPr>
      <w:r w:rsidRPr="00DA0139">
        <w:t xml:space="preserve">The success of this hybrid staffing model </w:t>
      </w:r>
      <w:r w:rsidR="00322041">
        <w:t>for</w:t>
      </w:r>
      <w:r w:rsidRPr="00DA0139">
        <w:t xml:space="preserve"> the New York Health Benefits Exchange not only streamlined operations but also provided a framework for agile adaptation to future changes, demonstrating IBM's ability to manage complexity with a balanced onshore-CIC</w:t>
      </w:r>
      <w:r w:rsidR="00CF3725">
        <w:t xml:space="preserve"> </w:t>
      </w:r>
      <w:r w:rsidRPr="00DA0139">
        <w:t>approach.</w:t>
      </w:r>
    </w:p>
    <w:p w14:paraId="7EE1F855" w14:textId="77777777" w:rsidR="001F2204" w:rsidRPr="00DA0139" w:rsidRDefault="001F2204" w:rsidP="001F2204">
      <w:pPr>
        <w:pStyle w:val="CS-IBMResponseText"/>
        <w:ind w:left="720"/>
      </w:pPr>
    </w:p>
    <w:p w14:paraId="11C8B2E3" w14:textId="030DE078" w:rsidR="001F2204" w:rsidRDefault="00491270" w:rsidP="00714EC9">
      <w:pPr>
        <w:pStyle w:val="CS-IBMResponseText"/>
        <w:rPr>
          <w:rFonts w:eastAsia="IBM Plex Sans"/>
        </w:rPr>
      </w:pPr>
      <w:r w:rsidRPr="00846DDE">
        <w:rPr>
          <w:rFonts w:eastAsia="IBM Plex Sans"/>
          <w:b/>
          <w:bCs/>
        </w:rPr>
        <w:t>Florida Department of Children and Families (DCF) Florida Safe Families Network (FSFN</w:t>
      </w:r>
      <w:r w:rsidR="00C16A4C" w:rsidRPr="00846DDE">
        <w:rPr>
          <w:rFonts w:eastAsia="IBM Plex Sans"/>
          <w:b/>
          <w:bCs/>
        </w:rPr>
        <w:t>)</w:t>
      </w:r>
      <w:r w:rsidR="00C16A4C" w:rsidRPr="00DA0139">
        <w:rPr>
          <w:rFonts w:eastAsia="IBM Plex Sans"/>
        </w:rPr>
        <w:t>:</w:t>
      </w:r>
    </w:p>
    <w:p w14:paraId="157622F7" w14:textId="7DE9EA26" w:rsidR="00491270" w:rsidRPr="00DA0139" w:rsidRDefault="00491270" w:rsidP="001F2204">
      <w:pPr>
        <w:pStyle w:val="CS-IBMResponseText"/>
        <w:ind w:left="720"/>
      </w:pPr>
      <w:r w:rsidRPr="00DA0139">
        <w:rPr>
          <w:rFonts w:eastAsia="IBM Plex Sans"/>
        </w:rPr>
        <w:t xml:space="preserve">IBM </w:t>
      </w:r>
      <w:r w:rsidRPr="00DA0139">
        <w:t>uses an agile staffing model that enables rapid scaling up or down based on project needs</w:t>
      </w:r>
      <w:r w:rsidR="00CF3725" w:rsidRPr="00DA0139">
        <w:t xml:space="preserve">. </w:t>
      </w:r>
      <w:r w:rsidRPr="00DA0139">
        <w:t>In the Florida DCF FSFN project</w:t>
      </w:r>
      <w:r w:rsidR="007479CC">
        <w:t xml:space="preserve"> where IBM was overall system integrator including QA responsibilities</w:t>
      </w:r>
      <w:r w:rsidRPr="00DA0139">
        <w:t xml:space="preserve">, this is achieved by maintaining a dedicated core team assigned to the project on an ongoing basis, supplemented as needed by staff from the IBM Client Innovation Center who can be flexibly added or removed based on project demands. This flexibility allows IBM to quickly adapt to system changes and accommodate new business functions and technologies without compromising on quality or efficiency. </w:t>
      </w:r>
    </w:p>
    <w:p w14:paraId="7028128D" w14:textId="3EBDE586" w:rsidR="00491270" w:rsidRDefault="00491270" w:rsidP="001F2204">
      <w:pPr>
        <w:pStyle w:val="CS-IBMResponseText"/>
        <w:ind w:left="720"/>
      </w:pPr>
      <w:r w:rsidRPr="00DA0139">
        <w:t>When onboarding additional staff we adopt a knowledge-sharing approach that promotes seamless exchange of information to enhance newer team members' skills and provides them with practical experience in handling system modifications and enhancements. This process begins with the development of comprehensive materials that outline all critical aspects of the role, including detailed process documentation, policy guidelines, and project objectives.</w:t>
      </w:r>
      <w:r w:rsidR="00CF3725">
        <w:t xml:space="preserve"> </w:t>
      </w:r>
      <w:r w:rsidRPr="00DA0139">
        <w:t xml:space="preserve">To support integration of new team members, IBM conducts orientation sessions that introduce onboarding staff to project objectives and team dynamics which fosters early engagement and alignment. Recognizing the importance of personalized support, each new team member pairs with experienced staff who serve as a resource, providing guidance, answering questions, and facilitating a smooth transition into the role. This comprehensive onboarding approach </w:t>
      </w:r>
      <w:r w:rsidRPr="00DA0139">
        <w:lastRenderedPageBreak/>
        <w:t>ensures that all staff are fully integrated, well-prepared, and positioned to contribute effectively from the outset.</w:t>
      </w:r>
      <w:r w:rsidR="00CF3725">
        <w:t xml:space="preserve"> </w:t>
      </w:r>
      <w:r w:rsidRPr="00DA0139">
        <w:t>By applying this approach, our staff is empowered to adapt to future changes and remain effective in a dynamic environment where team size adjusts based on project demands.</w:t>
      </w:r>
    </w:p>
    <w:p w14:paraId="4009E33D" w14:textId="77777777" w:rsidR="001F2204" w:rsidRPr="00DA0139" w:rsidRDefault="001F2204" w:rsidP="001F2204">
      <w:pPr>
        <w:pStyle w:val="CS-IBMResponseText"/>
        <w:ind w:left="720"/>
      </w:pPr>
    </w:p>
    <w:p w14:paraId="1A7CA286" w14:textId="35531832" w:rsidR="00491270" w:rsidRPr="00714EC9" w:rsidRDefault="00491270" w:rsidP="00E24597">
      <w:pPr>
        <w:pStyle w:val="CS-IBMResponseText"/>
        <w:spacing w:before="0" w:after="0"/>
        <w:rPr>
          <w:b/>
          <w:bCs/>
        </w:rPr>
      </w:pPr>
      <w:r w:rsidRPr="00E24597">
        <w:rPr>
          <w:b/>
          <w:bCs/>
        </w:rPr>
        <w:t>Arizona</w:t>
      </w:r>
      <w:r w:rsidR="009C6BE1" w:rsidRPr="00E24597">
        <w:rPr>
          <w:b/>
          <w:bCs/>
        </w:rPr>
        <w:t xml:space="preserve"> Department of E</w:t>
      </w:r>
      <w:r w:rsidR="00F5201E" w:rsidRPr="00E24597">
        <w:rPr>
          <w:b/>
          <w:bCs/>
        </w:rPr>
        <w:t>conomic Security</w:t>
      </w:r>
      <w:r w:rsidRPr="00E24597">
        <w:rPr>
          <w:b/>
          <w:bCs/>
        </w:rPr>
        <w:t xml:space="preserve"> </w:t>
      </w:r>
      <w:r w:rsidR="00F5201E" w:rsidRPr="00E24597">
        <w:rPr>
          <w:b/>
          <w:bCs/>
        </w:rPr>
        <w:t>(</w:t>
      </w:r>
      <w:r w:rsidRPr="00E24597">
        <w:rPr>
          <w:b/>
          <w:bCs/>
        </w:rPr>
        <w:t>DES</w:t>
      </w:r>
      <w:r w:rsidR="00F5201E" w:rsidRPr="00E24597">
        <w:rPr>
          <w:b/>
          <w:bCs/>
        </w:rPr>
        <w:t>)</w:t>
      </w:r>
      <w:r w:rsidRPr="00E24597">
        <w:rPr>
          <w:b/>
          <w:bCs/>
        </w:rPr>
        <w:t>:</w:t>
      </w:r>
      <w:r w:rsidRPr="00714EC9">
        <w:rPr>
          <w:b/>
          <w:bCs/>
        </w:rPr>
        <w:t xml:space="preserve"> </w:t>
      </w:r>
    </w:p>
    <w:p w14:paraId="77EB0548" w14:textId="77777777" w:rsidR="00AB1CB7" w:rsidRPr="00E24597" w:rsidRDefault="000600A5" w:rsidP="001F2204">
      <w:pPr>
        <w:pStyle w:val="NormalWeb"/>
        <w:spacing w:before="0" w:after="0"/>
        <w:ind w:left="720"/>
        <w:rPr>
          <w:rFonts w:ascii="Century Gothic" w:hAnsi="Century Gothic" w:cs="Arial"/>
          <w:color w:val="0D0D0D" w:themeColor="text1" w:themeTint="F2"/>
          <w:sz w:val="22"/>
          <w:szCs w:val="21"/>
        </w:rPr>
      </w:pPr>
      <w:r w:rsidRPr="00F00CE0">
        <w:rPr>
          <w:rFonts w:ascii="Century Gothic" w:hAnsi="Century Gothic" w:cs="Arial"/>
          <w:b/>
          <w:bCs/>
          <w:color w:val="0D0D0D" w:themeColor="text1" w:themeTint="F2"/>
          <w:sz w:val="22"/>
          <w:szCs w:val="21"/>
        </w:rPr>
        <w:t>Context:</w:t>
      </w:r>
      <w:r w:rsidRPr="000600A5">
        <w:rPr>
          <w:rFonts w:ascii="Century Gothic" w:hAnsi="Century Gothic" w:cs="Arial"/>
          <w:color w:val="0D0D0D" w:themeColor="text1" w:themeTint="F2"/>
          <w:sz w:val="22"/>
          <w:szCs w:val="21"/>
        </w:rPr>
        <w:br/>
      </w:r>
      <w:r w:rsidR="00AB1CB7" w:rsidRPr="00E24597">
        <w:rPr>
          <w:rFonts w:ascii="Century Gothic" w:hAnsi="Century Gothic" w:cs="Arial"/>
          <w:color w:val="0D0D0D" w:themeColor="text1" w:themeTint="F2"/>
          <w:sz w:val="22"/>
          <w:szCs w:val="21"/>
        </w:rPr>
        <w:t xml:space="preserve">The </w:t>
      </w:r>
      <w:r w:rsidR="00491270" w:rsidRPr="00E24597">
        <w:rPr>
          <w:rFonts w:ascii="Century Gothic" w:eastAsia="IBM Plex Sans" w:hAnsi="Century Gothic" w:cs="Arial"/>
          <w:color w:val="0D0D0D" w:themeColor="text1" w:themeTint="F2"/>
          <w:sz w:val="22"/>
          <w:szCs w:val="21"/>
        </w:rPr>
        <w:t xml:space="preserve">Arizona </w:t>
      </w:r>
      <w:r w:rsidR="00AB1CB7" w:rsidRPr="00E24597">
        <w:rPr>
          <w:rFonts w:ascii="Century Gothic" w:hAnsi="Century Gothic" w:cs="Arial"/>
          <w:color w:val="0D0D0D" w:themeColor="text1" w:themeTint="F2"/>
          <w:sz w:val="22"/>
          <w:szCs w:val="21"/>
        </w:rPr>
        <w:t>Department of Economic Security (</w:t>
      </w:r>
      <w:r w:rsidR="00491270" w:rsidRPr="00E24597">
        <w:rPr>
          <w:rFonts w:ascii="Century Gothic" w:eastAsia="IBM Plex Sans" w:hAnsi="Century Gothic" w:cs="Arial"/>
          <w:color w:val="0D0D0D" w:themeColor="text1" w:themeTint="F2"/>
          <w:sz w:val="22"/>
          <w:szCs w:val="21"/>
        </w:rPr>
        <w:t>DES</w:t>
      </w:r>
      <w:r w:rsidR="00AB1CB7" w:rsidRPr="00E24597">
        <w:rPr>
          <w:rFonts w:ascii="Century Gothic" w:hAnsi="Century Gothic" w:cs="Arial"/>
          <w:color w:val="0D0D0D" w:themeColor="text1" w:themeTint="F2"/>
          <w:sz w:val="22"/>
          <w:szCs w:val="21"/>
        </w:rPr>
        <w:t>)</w:t>
      </w:r>
      <w:r w:rsidR="00491270" w:rsidRPr="00E24597">
        <w:rPr>
          <w:rFonts w:ascii="Century Gothic" w:eastAsia="IBM Plex Sans" w:hAnsi="Century Gothic" w:cs="Arial"/>
          <w:color w:val="0D0D0D" w:themeColor="text1" w:themeTint="F2"/>
          <w:sz w:val="22"/>
          <w:szCs w:val="21"/>
        </w:rPr>
        <w:t xml:space="preserve"> administers </w:t>
      </w:r>
      <w:r w:rsidR="00AB1CB7" w:rsidRPr="00E24597">
        <w:rPr>
          <w:rFonts w:ascii="Century Gothic" w:hAnsi="Century Gothic" w:cs="Arial"/>
          <w:color w:val="0D0D0D" w:themeColor="text1" w:themeTint="F2"/>
          <w:sz w:val="22"/>
          <w:szCs w:val="21"/>
        </w:rPr>
        <w:t xml:space="preserve">critical </w:t>
      </w:r>
      <w:r w:rsidR="00491270" w:rsidRPr="00E24597">
        <w:rPr>
          <w:rFonts w:ascii="Century Gothic" w:eastAsia="IBM Plex Sans" w:hAnsi="Century Gothic" w:cs="Arial"/>
          <w:color w:val="0D0D0D" w:themeColor="text1" w:themeTint="F2"/>
          <w:sz w:val="22"/>
          <w:szCs w:val="21"/>
        </w:rPr>
        <w:t>human services programs</w:t>
      </w:r>
      <w:r w:rsidR="00AB1CB7" w:rsidRPr="00E24597">
        <w:rPr>
          <w:rFonts w:ascii="Century Gothic" w:hAnsi="Century Gothic" w:cs="Arial"/>
          <w:color w:val="0D0D0D" w:themeColor="text1" w:themeTint="F2"/>
          <w:sz w:val="22"/>
          <w:szCs w:val="21"/>
        </w:rPr>
        <w:t xml:space="preserve"> such as</w:t>
      </w:r>
      <w:r w:rsidR="00491270" w:rsidRPr="00E24597">
        <w:rPr>
          <w:rFonts w:ascii="Century Gothic" w:eastAsia="IBM Plex Sans" w:hAnsi="Century Gothic" w:cs="Arial"/>
          <w:color w:val="0D0D0D" w:themeColor="text1" w:themeTint="F2"/>
          <w:sz w:val="22"/>
          <w:szCs w:val="21"/>
        </w:rPr>
        <w:t xml:space="preserve"> SNAP, TANF, Medicaid, </w:t>
      </w:r>
      <w:r w:rsidR="00AB1CB7" w:rsidRPr="00E24597">
        <w:rPr>
          <w:rFonts w:ascii="Century Gothic" w:hAnsi="Century Gothic" w:cs="Arial"/>
          <w:color w:val="0D0D0D" w:themeColor="text1" w:themeTint="F2"/>
          <w:sz w:val="22"/>
          <w:szCs w:val="21"/>
        </w:rPr>
        <w:t>childcare</w:t>
      </w:r>
      <w:r w:rsidR="00491270" w:rsidRPr="00E24597">
        <w:rPr>
          <w:rFonts w:ascii="Century Gothic" w:eastAsia="IBM Plex Sans" w:hAnsi="Century Gothic" w:cs="Arial"/>
          <w:color w:val="0D0D0D" w:themeColor="text1" w:themeTint="F2"/>
          <w:sz w:val="22"/>
          <w:szCs w:val="21"/>
        </w:rPr>
        <w:t xml:space="preserve">, and workforce </w:t>
      </w:r>
      <w:r w:rsidR="00AB1CB7" w:rsidRPr="00E24597">
        <w:rPr>
          <w:rFonts w:ascii="Century Gothic" w:hAnsi="Century Gothic" w:cs="Arial"/>
          <w:color w:val="0D0D0D" w:themeColor="text1" w:themeTint="F2"/>
          <w:sz w:val="22"/>
          <w:szCs w:val="21"/>
        </w:rPr>
        <w:t>development. In response to Affordable Care Act (ACA)–driven policy changes, DES</w:t>
      </w:r>
      <w:r w:rsidR="00491270" w:rsidRPr="00E24597">
        <w:rPr>
          <w:rFonts w:ascii="Century Gothic" w:eastAsia="IBM Plex Sans" w:hAnsi="Century Gothic" w:cs="Arial"/>
          <w:color w:val="0D0D0D" w:themeColor="text1" w:themeTint="F2"/>
          <w:sz w:val="22"/>
          <w:szCs w:val="21"/>
        </w:rPr>
        <w:t xml:space="preserve"> embarked on a major modernization </w:t>
      </w:r>
      <w:r w:rsidR="00AB1CB7" w:rsidRPr="00E24597">
        <w:rPr>
          <w:rFonts w:ascii="Century Gothic" w:hAnsi="Century Gothic" w:cs="Arial"/>
          <w:color w:val="0D0D0D" w:themeColor="text1" w:themeTint="F2"/>
          <w:sz w:val="22"/>
          <w:szCs w:val="21"/>
        </w:rPr>
        <w:t>initiative to move from</w:t>
      </w:r>
      <w:r w:rsidR="00491270" w:rsidRPr="00E24597">
        <w:rPr>
          <w:rFonts w:ascii="Century Gothic" w:eastAsia="IBM Plex Sans" w:hAnsi="Century Gothic" w:cs="Arial"/>
          <w:color w:val="0D0D0D" w:themeColor="text1" w:themeTint="F2"/>
          <w:sz w:val="22"/>
          <w:szCs w:val="21"/>
        </w:rPr>
        <w:t xml:space="preserve"> legacy</w:t>
      </w:r>
      <w:r w:rsidR="00AB1CB7" w:rsidRPr="00E24597">
        <w:rPr>
          <w:rFonts w:ascii="Century Gothic" w:hAnsi="Century Gothic" w:cs="Arial"/>
          <w:color w:val="0D0D0D" w:themeColor="text1" w:themeTint="F2"/>
          <w:sz w:val="22"/>
          <w:szCs w:val="21"/>
        </w:rPr>
        <w:t>, siloed</w:t>
      </w:r>
      <w:r w:rsidR="00491270" w:rsidRPr="00E24597">
        <w:rPr>
          <w:rFonts w:ascii="Century Gothic" w:eastAsia="IBM Plex Sans" w:hAnsi="Century Gothic" w:cs="Arial"/>
          <w:color w:val="0D0D0D" w:themeColor="text1" w:themeTint="F2"/>
          <w:sz w:val="22"/>
          <w:szCs w:val="21"/>
        </w:rPr>
        <w:t xml:space="preserve"> systems to </w:t>
      </w:r>
      <w:r w:rsidR="00AB1CB7" w:rsidRPr="00E24597">
        <w:rPr>
          <w:rFonts w:ascii="Century Gothic" w:hAnsi="Century Gothic" w:cs="Arial"/>
          <w:color w:val="0D0D0D" w:themeColor="text1" w:themeTint="F2"/>
          <w:sz w:val="22"/>
          <w:szCs w:val="21"/>
        </w:rPr>
        <w:t xml:space="preserve">a unified, </w:t>
      </w:r>
      <w:r w:rsidR="00491270" w:rsidRPr="00E24597">
        <w:rPr>
          <w:rFonts w:ascii="Century Gothic" w:eastAsia="IBM Plex Sans" w:hAnsi="Century Gothic" w:cs="Arial"/>
          <w:color w:val="0D0D0D" w:themeColor="text1" w:themeTint="F2"/>
          <w:sz w:val="22"/>
          <w:szCs w:val="21"/>
        </w:rPr>
        <w:t>cloud-</w:t>
      </w:r>
      <w:r w:rsidR="00AB1CB7" w:rsidRPr="00E24597">
        <w:rPr>
          <w:rFonts w:ascii="Century Gothic" w:hAnsi="Century Gothic" w:cs="Arial"/>
          <w:color w:val="0D0D0D" w:themeColor="text1" w:themeTint="F2"/>
          <w:sz w:val="22"/>
          <w:szCs w:val="21"/>
        </w:rPr>
        <w:t>based platform.</w:t>
      </w:r>
    </w:p>
    <w:p w14:paraId="5CBE01A0" w14:textId="77777777" w:rsidR="00A62F17" w:rsidRDefault="00A62F17" w:rsidP="001F2204">
      <w:pPr>
        <w:spacing w:before="0" w:after="0"/>
        <w:ind w:left="720"/>
        <w:rPr>
          <w:rFonts w:cs="Arial"/>
          <w:color w:val="0D0D0D" w:themeColor="text1" w:themeTint="F2"/>
          <w:szCs w:val="21"/>
        </w:rPr>
      </w:pPr>
    </w:p>
    <w:p w14:paraId="1B4EE67F" w14:textId="13707826" w:rsidR="00E24597" w:rsidRPr="00AB1CB7" w:rsidRDefault="00AB1CB7" w:rsidP="001F2204">
      <w:pPr>
        <w:spacing w:before="0" w:after="0"/>
        <w:ind w:left="720"/>
        <w:rPr>
          <w:rFonts w:cs="Arial"/>
          <w:color w:val="0D0D0D" w:themeColor="text1" w:themeTint="F2"/>
          <w:szCs w:val="21"/>
        </w:rPr>
      </w:pPr>
      <w:r w:rsidRPr="00AB1CB7">
        <w:rPr>
          <w:rFonts w:cs="Arial"/>
          <w:color w:val="0D0D0D" w:themeColor="text1" w:themeTint="F2"/>
          <w:szCs w:val="21"/>
        </w:rPr>
        <w:t>The legacy environment was composed of on-premises SQL Server databases, mainframe-based eligibility logic, and standalone .NET web applications, which limited</w:t>
      </w:r>
      <w:r w:rsidR="00491270" w:rsidRPr="00AB1CB7">
        <w:rPr>
          <w:rFonts w:eastAsia="IBM Plex Sans" w:cs="Arial"/>
          <w:color w:val="0D0D0D" w:themeColor="text1" w:themeTint="F2"/>
          <w:szCs w:val="21"/>
        </w:rPr>
        <w:t xml:space="preserve"> scalability, </w:t>
      </w:r>
      <w:r w:rsidRPr="00AB1CB7">
        <w:rPr>
          <w:rFonts w:cs="Arial"/>
          <w:color w:val="0D0D0D" w:themeColor="text1" w:themeTint="F2"/>
          <w:szCs w:val="21"/>
        </w:rPr>
        <w:t>slowed updates, and made regression testing highly manual. The modernization program introduced Microsoft Dynamics 365 for case management, Azure cloud infrastructure, Power BI analytics, and a service-oriented integration layer. These shifts required a testing approach that could manage hybrid integrations, evolving data models, and continuous deployments across multiple vendors.</w:t>
      </w:r>
    </w:p>
    <w:p w14:paraId="3A739D49" w14:textId="38BB7FB8" w:rsidR="00491270" w:rsidRDefault="00491270" w:rsidP="001F2204">
      <w:pPr>
        <w:spacing w:before="0" w:after="0"/>
        <w:ind w:left="720"/>
        <w:rPr>
          <w:rFonts w:eastAsia="IBM Plex Sans" w:cs="Arial"/>
          <w:i/>
          <w:color w:val="EE0000"/>
          <w:szCs w:val="21"/>
        </w:rPr>
      </w:pPr>
    </w:p>
    <w:p w14:paraId="3EB989ED" w14:textId="77777777" w:rsidR="00F00CE0" w:rsidRPr="00E24597" w:rsidRDefault="00F00CE0" w:rsidP="001F2204">
      <w:pPr>
        <w:spacing w:before="0" w:after="0"/>
        <w:ind w:left="720"/>
        <w:rPr>
          <w:rFonts w:cs="Arial"/>
          <w:color w:val="0D0D0D" w:themeColor="text1" w:themeTint="F2"/>
          <w:szCs w:val="21"/>
        </w:rPr>
      </w:pPr>
    </w:p>
    <w:p w14:paraId="3B73ADEC" w14:textId="77777777" w:rsidR="00E24597" w:rsidRPr="00E24597" w:rsidRDefault="00E24597" w:rsidP="001F2204">
      <w:pPr>
        <w:spacing w:before="0" w:after="0"/>
        <w:ind w:left="720"/>
        <w:rPr>
          <w:rFonts w:cs="Arial"/>
          <w:color w:val="0D0D0D" w:themeColor="text1" w:themeTint="F2"/>
          <w:szCs w:val="21"/>
        </w:rPr>
      </w:pPr>
      <w:r w:rsidRPr="00E24597">
        <w:rPr>
          <w:rFonts w:cs="Arial"/>
          <w:b/>
          <w:bCs/>
          <w:color w:val="0D0D0D" w:themeColor="text1" w:themeTint="F2"/>
          <w:szCs w:val="21"/>
        </w:rPr>
        <w:t>IBM’s Role and Approach:</w:t>
      </w:r>
      <w:r w:rsidRPr="00E24597">
        <w:rPr>
          <w:rFonts w:cs="Arial"/>
          <w:color w:val="0D0D0D" w:themeColor="text1" w:themeTint="F2"/>
          <w:szCs w:val="21"/>
        </w:rPr>
        <w:br/>
        <w:t>IBM was engaged as the Independent QA partner to stabilize quality and accelerate release readiness during this high-velocity modernization effort.</w:t>
      </w:r>
    </w:p>
    <w:p w14:paraId="5FE4197D" w14:textId="77777777" w:rsidR="00E24597" w:rsidRPr="00E24597" w:rsidRDefault="00E24597" w:rsidP="001F2204">
      <w:pPr>
        <w:spacing w:before="0" w:after="0"/>
        <w:ind w:left="720"/>
        <w:rPr>
          <w:rFonts w:cs="Arial"/>
          <w:color w:val="0D0D0D" w:themeColor="text1" w:themeTint="F2"/>
          <w:szCs w:val="21"/>
        </w:rPr>
      </w:pPr>
      <w:r w:rsidRPr="00E24597">
        <w:rPr>
          <w:rFonts w:cs="Arial"/>
          <w:color w:val="0D0D0D" w:themeColor="text1" w:themeTint="F2"/>
          <w:szCs w:val="21"/>
        </w:rPr>
        <w:t>Key actions included:</w:t>
      </w:r>
    </w:p>
    <w:p w14:paraId="4CB2B9AF" w14:textId="77777777" w:rsidR="00E24597" w:rsidRPr="00E24597" w:rsidRDefault="00E24597" w:rsidP="00CF7600">
      <w:pPr>
        <w:numPr>
          <w:ilvl w:val="0"/>
          <w:numId w:val="45"/>
        </w:numPr>
        <w:tabs>
          <w:tab w:val="clear" w:pos="720"/>
          <w:tab w:val="num" w:pos="2160"/>
        </w:tabs>
        <w:spacing w:before="0" w:after="0"/>
        <w:ind w:left="1440"/>
        <w:rPr>
          <w:rFonts w:cs="Arial"/>
          <w:color w:val="0D0D0D" w:themeColor="text1" w:themeTint="F2"/>
          <w:szCs w:val="21"/>
        </w:rPr>
      </w:pPr>
      <w:r w:rsidRPr="00E24597">
        <w:rPr>
          <w:rFonts w:cs="Arial"/>
          <w:color w:val="0D0D0D" w:themeColor="text1" w:themeTint="F2"/>
          <w:szCs w:val="21"/>
        </w:rPr>
        <w:t>Rapid QA Scale-Up: Within four weeks, IBM expanded QA staffing capacity by 35%, deploying U.S.-based hybrid pods that combined onsite QA leadership in Phoenix with scalable nearshore teams from our Client Innovation Centers (CICs). This structure ensured both real-time coordination with DES stakeholders and cost-effective test execution.</w:t>
      </w:r>
    </w:p>
    <w:p w14:paraId="7F8A5047" w14:textId="77777777" w:rsidR="00E24597" w:rsidRPr="00E24597" w:rsidRDefault="00E24597" w:rsidP="00CF7600">
      <w:pPr>
        <w:numPr>
          <w:ilvl w:val="0"/>
          <w:numId w:val="45"/>
        </w:numPr>
        <w:tabs>
          <w:tab w:val="clear" w:pos="720"/>
          <w:tab w:val="num" w:pos="2160"/>
        </w:tabs>
        <w:spacing w:before="0" w:after="0"/>
        <w:ind w:left="1440"/>
        <w:rPr>
          <w:rFonts w:cs="Arial"/>
          <w:color w:val="0D0D0D" w:themeColor="text1" w:themeTint="F2"/>
          <w:szCs w:val="21"/>
        </w:rPr>
      </w:pPr>
      <w:r w:rsidRPr="00E24597">
        <w:rPr>
          <w:rFonts w:cs="Arial"/>
          <w:color w:val="0D0D0D" w:themeColor="text1" w:themeTint="F2"/>
          <w:szCs w:val="21"/>
        </w:rPr>
        <w:t>Integrated Automation Framework: IBM introduced Selenium- and Cypress-based automation integrated with Azure DevOps pipelines, enabling continuous validation for Microsoft Dynamics workflows, APIs, and batch processes.</w:t>
      </w:r>
    </w:p>
    <w:p w14:paraId="7836AE99" w14:textId="77777777" w:rsidR="00E24597" w:rsidRPr="00E24597" w:rsidRDefault="00E24597" w:rsidP="00CF7600">
      <w:pPr>
        <w:numPr>
          <w:ilvl w:val="0"/>
          <w:numId w:val="45"/>
        </w:numPr>
        <w:tabs>
          <w:tab w:val="clear" w:pos="720"/>
          <w:tab w:val="num" w:pos="2160"/>
        </w:tabs>
        <w:spacing w:before="0" w:after="0"/>
        <w:ind w:left="1440"/>
        <w:rPr>
          <w:rFonts w:cs="Arial"/>
          <w:color w:val="0D0D0D" w:themeColor="text1" w:themeTint="F2"/>
          <w:szCs w:val="21"/>
        </w:rPr>
      </w:pPr>
      <w:r w:rsidRPr="00E24597">
        <w:rPr>
          <w:rFonts w:cs="Arial"/>
          <w:color w:val="0D0D0D" w:themeColor="text1" w:themeTint="F2"/>
          <w:szCs w:val="21"/>
        </w:rPr>
        <w:t>Cross-Vendor Collaboration: IBM established a multi-vendor QA governance forum with Accenture (system integrator), Microsoft, and DES program leads to align test cycles, standardize defect triage, and ensure traceable, auditable QA metrics.</w:t>
      </w:r>
    </w:p>
    <w:p w14:paraId="64D518B1" w14:textId="77777777" w:rsidR="00E24597" w:rsidRPr="00E24597" w:rsidRDefault="00E24597" w:rsidP="00CF7600">
      <w:pPr>
        <w:numPr>
          <w:ilvl w:val="0"/>
          <w:numId w:val="45"/>
        </w:numPr>
        <w:tabs>
          <w:tab w:val="clear" w:pos="720"/>
          <w:tab w:val="num" w:pos="2160"/>
        </w:tabs>
        <w:spacing w:before="0" w:after="0"/>
        <w:ind w:left="1440"/>
        <w:rPr>
          <w:rFonts w:cs="Arial"/>
          <w:color w:val="0D0D0D" w:themeColor="text1" w:themeTint="F2"/>
          <w:szCs w:val="21"/>
        </w:rPr>
      </w:pPr>
      <w:r w:rsidRPr="00E24597">
        <w:rPr>
          <w:rFonts w:cs="Arial"/>
          <w:color w:val="0D0D0D" w:themeColor="text1" w:themeTint="F2"/>
          <w:szCs w:val="21"/>
        </w:rPr>
        <w:t>Performance and Cloud Validation: Developed end-to-end performance tests for Azure-based services and SQL data pipelines, ensuring scalability and response stability during peak transaction volumes.</w:t>
      </w:r>
    </w:p>
    <w:p w14:paraId="3E2A89EA" w14:textId="69943F53" w:rsidR="00491270" w:rsidRDefault="00E24597" w:rsidP="005B2199">
      <w:pPr>
        <w:numPr>
          <w:ilvl w:val="0"/>
          <w:numId w:val="45"/>
        </w:numPr>
        <w:tabs>
          <w:tab w:val="clear" w:pos="720"/>
          <w:tab w:val="num" w:pos="2160"/>
        </w:tabs>
        <w:spacing w:before="0" w:after="0"/>
        <w:ind w:left="1440"/>
        <w:rPr>
          <w:rFonts w:eastAsia="IBM Plex Sans" w:cs="Arial"/>
          <w:color w:val="0D0D0D" w:themeColor="text1" w:themeTint="F2"/>
          <w:szCs w:val="21"/>
        </w:rPr>
      </w:pPr>
      <w:r w:rsidRPr="00E24597">
        <w:rPr>
          <w:rFonts w:cs="Arial"/>
          <w:color w:val="0D0D0D" w:themeColor="text1" w:themeTint="F2"/>
          <w:szCs w:val="21"/>
        </w:rPr>
        <w:t>Predictive QA Analytics: Leveraged IBM’s Intelligent Quality Platform (IQP+) to identify defect-prone components through historical defect clustering and code-change analytics — allowing proactive test prioritization.</w:t>
      </w:r>
    </w:p>
    <w:p w14:paraId="0F7F62A9" w14:textId="77777777" w:rsidR="005B2199" w:rsidRPr="005B2199" w:rsidRDefault="005B2199" w:rsidP="005B2199">
      <w:pPr>
        <w:pStyle w:val="Caption"/>
        <w:rPr>
          <w:rFonts w:eastAsia="IBM Plex Sans"/>
        </w:rPr>
      </w:pPr>
    </w:p>
    <w:p w14:paraId="0631C907" w14:textId="77777777" w:rsidR="00406DBD" w:rsidRPr="00406DBD" w:rsidRDefault="00406DBD" w:rsidP="001F2204">
      <w:pPr>
        <w:spacing w:before="0" w:after="0"/>
        <w:ind w:left="720"/>
        <w:rPr>
          <w:rFonts w:cs="Arial"/>
          <w:b/>
          <w:bCs/>
          <w:color w:val="0D0D0D" w:themeColor="text1" w:themeTint="F2"/>
          <w:szCs w:val="21"/>
        </w:rPr>
      </w:pPr>
      <w:r w:rsidRPr="00406DBD">
        <w:rPr>
          <w:rFonts w:cs="Arial"/>
          <w:b/>
          <w:bCs/>
          <w:color w:val="0D0D0D" w:themeColor="text1" w:themeTint="F2"/>
          <w:szCs w:val="21"/>
        </w:rPr>
        <w:t>Outcomes and Measurable Improvements:</w:t>
      </w:r>
    </w:p>
    <w:p w14:paraId="3EF9B9EE" w14:textId="77777777" w:rsidR="00406DBD" w:rsidRPr="00406DBD" w:rsidRDefault="00406DBD" w:rsidP="00CF7600">
      <w:pPr>
        <w:numPr>
          <w:ilvl w:val="0"/>
          <w:numId w:val="40"/>
        </w:numPr>
        <w:tabs>
          <w:tab w:val="clear" w:pos="720"/>
          <w:tab w:val="num" w:pos="2160"/>
        </w:tabs>
        <w:spacing w:before="0" w:after="0"/>
        <w:ind w:left="1440"/>
        <w:rPr>
          <w:rFonts w:cs="Arial"/>
          <w:color w:val="0D0D0D" w:themeColor="text1" w:themeTint="F2"/>
          <w:szCs w:val="21"/>
        </w:rPr>
      </w:pPr>
      <w:r w:rsidRPr="00406DBD">
        <w:rPr>
          <w:rFonts w:cs="Arial"/>
          <w:b/>
          <w:bCs/>
          <w:color w:val="0D0D0D" w:themeColor="text1" w:themeTint="F2"/>
          <w:szCs w:val="21"/>
        </w:rPr>
        <w:t>20% Reduction in QA and Testing Costs:</w:t>
      </w:r>
      <w:r w:rsidRPr="00406DBD">
        <w:rPr>
          <w:rFonts w:cs="Arial"/>
          <w:color w:val="0D0D0D" w:themeColor="text1" w:themeTint="F2"/>
          <w:szCs w:val="21"/>
        </w:rPr>
        <w:br/>
        <w:t>Achieved through automation-led efficiency and right-sized QA pod resourcing, reducing manual testing effort while maintaining complete coverage. IBM’s “test-once, reuse-many” model significantly cut redundancy across functional and integration testing.</w:t>
      </w:r>
    </w:p>
    <w:p w14:paraId="0D5EB5A2" w14:textId="66610C22" w:rsidR="00406DBD" w:rsidRPr="00406DBD" w:rsidRDefault="00406DBD" w:rsidP="00CF7600">
      <w:pPr>
        <w:numPr>
          <w:ilvl w:val="0"/>
          <w:numId w:val="40"/>
        </w:numPr>
        <w:tabs>
          <w:tab w:val="clear" w:pos="720"/>
          <w:tab w:val="num" w:pos="1440"/>
        </w:tabs>
        <w:spacing w:before="0" w:after="0"/>
        <w:ind w:left="1440"/>
        <w:rPr>
          <w:rFonts w:cs="Arial"/>
          <w:color w:val="0D0D0D" w:themeColor="text1" w:themeTint="F2"/>
          <w:szCs w:val="21"/>
        </w:rPr>
      </w:pPr>
      <w:r w:rsidRPr="00406DBD">
        <w:rPr>
          <w:rFonts w:cs="Arial"/>
          <w:b/>
          <w:bCs/>
          <w:color w:val="0D0D0D" w:themeColor="text1" w:themeTint="F2"/>
          <w:szCs w:val="21"/>
        </w:rPr>
        <w:t>Improved Release Quality and Stability:</w:t>
      </w:r>
      <w:r w:rsidRPr="00406DBD">
        <w:rPr>
          <w:rFonts w:cs="Arial"/>
          <w:color w:val="0D0D0D" w:themeColor="text1" w:themeTint="F2"/>
          <w:szCs w:val="21"/>
        </w:rPr>
        <w:br/>
        <w:t>Automation in CI/CD pipelines led to faster feedback cycles and earlier defect detection</w:t>
      </w:r>
      <w:r>
        <w:rPr>
          <w:rFonts w:cs="Arial"/>
          <w:color w:val="0D0D0D" w:themeColor="text1" w:themeTint="F2"/>
          <w:szCs w:val="21"/>
        </w:rPr>
        <w:t xml:space="preserve"> </w:t>
      </w:r>
      <w:r w:rsidRPr="00406DBD">
        <w:rPr>
          <w:rFonts w:cs="Arial"/>
          <w:color w:val="0D0D0D" w:themeColor="text1" w:themeTint="F2"/>
          <w:szCs w:val="21"/>
        </w:rPr>
        <w:t>reducing defect leakage into production by 35%. Continuous regression testing ensured that each release met business and technical readiness criteria before go-live.</w:t>
      </w:r>
    </w:p>
    <w:p w14:paraId="056AB6FC" w14:textId="77777777" w:rsidR="00406DBD" w:rsidRPr="00406DBD" w:rsidRDefault="00406DBD" w:rsidP="00CF7600">
      <w:pPr>
        <w:numPr>
          <w:ilvl w:val="0"/>
          <w:numId w:val="40"/>
        </w:numPr>
        <w:tabs>
          <w:tab w:val="clear" w:pos="720"/>
          <w:tab w:val="num" w:pos="1440"/>
        </w:tabs>
        <w:spacing w:before="0" w:after="0"/>
        <w:ind w:left="1440"/>
        <w:rPr>
          <w:rFonts w:cs="Arial"/>
          <w:color w:val="0D0D0D" w:themeColor="text1" w:themeTint="F2"/>
          <w:szCs w:val="21"/>
        </w:rPr>
      </w:pPr>
      <w:r w:rsidRPr="00406DBD">
        <w:rPr>
          <w:rFonts w:cs="Arial"/>
          <w:b/>
          <w:bCs/>
          <w:color w:val="0D0D0D" w:themeColor="text1" w:themeTint="F2"/>
          <w:szCs w:val="21"/>
        </w:rPr>
        <w:t>Enhanced Scalability and Performance Validation:</w:t>
      </w:r>
      <w:r w:rsidRPr="00406DBD">
        <w:rPr>
          <w:rFonts w:cs="Arial"/>
          <w:color w:val="0D0D0D" w:themeColor="text1" w:themeTint="F2"/>
          <w:szCs w:val="21"/>
        </w:rPr>
        <w:br/>
        <w:t>Cloud-native performance testing validated system resilience under real-world load conditions. This enabled DES to handle a 2.5x increase in concurrent benefit applications during pandemic response periods without system degradation or downtime.</w:t>
      </w:r>
    </w:p>
    <w:p w14:paraId="69FA9EB0" w14:textId="02472124" w:rsidR="00406DBD" w:rsidRPr="00406DBD" w:rsidRDefault="00406DBD" w:rsidP="00CF7600">
      <w:pPr>
        <w:numPr>
          <w:ilvl w:val="0"/>
          <w:numId w:val="40"/>
        </w:numPr>
        <w:tabs>
          <w:tab w:val="clear" w:pos="720"/>
          <w:tab w:val="num" w:pos="1440"/>
        </w:tabs>
        <w:spacing w:before="0" w:after="0"/>
        <w:ind w:left="1440"/>
        <w:rPr>
          <w:rFonts w:cs="Arial"/>
          <w:color w:val="0D0D0D" w:themeColor="text1" w:themeTint="F2"/>
          <w:szCs w:val="21"/>
        </w:rPr>
      </w:pPr>
      <w:r w:rsidRPr="00406DBD">
        <w:rPr>
          <w:rFonts w:cs="Arial"/>
          <w:b/>
          <w:bCs/>
          <w:color w:val="0D0D0D" w:themeColor="text1" w:themeTint="F2"/>
          <w:szCs w:val="21"/>
        </w:rPr>
        <w:t>Strengthened Governance and Transparency:</w:t>
      </w:r>
      <w:r w:rsidRPr="00406DBD">
        <w:rPr>
          <w:rFonts w:cs="Arial"/>
          <w:color w:val="0D0D0D" w:themeColor="text1" w:themeTint="F2"/>
          <w:szCs w:val="21"/>
        </w:rPr>
        <w:br/>
        <w:t>Through real-time dashboards and cross-vendor QA governance sessions, DES gained continuous visibility into quality trends, issue resolution, and vendor accountability</w:t>
      </w:r>
      <w:r w:rsidR="00312451">
        <w:rPr>
          <w:rFonts w:cs="Arial"/>
          <w:color w:val="0D0D0D" w:themeColor="text1" w:themeTint="F2"/>
          <w:szCs w:val="21"/>
        </w:rPr>
        <w:t>,</w:t>
      </w:r>
      <w:r>
        <w:rPr>
          <w:rFonts w:cs="Arial"/>
          <w:color w:val="0D0D0D" w:themeColor="text1" w:themeTint="F2"/>
          <w:szCs w:val="21"/>
        </w:rPr>
        <w:t xml:space="preserve"> </w:t>
      </w:r>
      <w:r w:rsidRPr="00406DBD">
        <w:rPr>
          <w:rFonts w:cs="Arial"/>
          <w:color w:val="0D0D0D" w:themeColor="text1" w:themeTint="F2"/>
          <w:szCs w:val="21"/>
        </w:rPr>
        <w:t>reducing test cycle time by 30% and enabling predictable release readiness reviews.</w:t>
      </w:r>
    </w:p>
    <w:p w14:paraId="5B9E0585" w14:textId="1712C827" w:rsidR="00E24597" w:rsidRPr="00AA4A1C" w:rsidRDefault="00406DBD" w:rsidP="00CF7600">
      <w:pPr>
        <w:numPr>
          <w:ilvl w:val="0"/>
          <w:numId w:val="40"/>
        </w:numPr>
        <w:tabs>
          <w:tab w:val="clear" w:pos="720"/>
          <w:tab w:val="num" w:pos="1440"/>
        </w:tabs>
        <w:spacing w:before="0" w:after="0"/>
        <w:ind w:left="1440"/>
        <w:rPr>
          <w:rFonts w:cs="Arial"/>
          <w:color w:val="0D0D0D" w:themeColor="text1" w:themeTint="F2"/>
          <w:szCs w:val="21"/>
        </w:rPr>
      </w:pPr>
      <w:r w:rsidRPr="00406DBD">
        <w:rPr>
          <w:rFonts w:cs="Arial"/>
          <w:b/>
          <w:bCs/>
          <w:color w:val="0D0D0D" w:themeColor="text1" w:themeTint="F2"/>
          <w:szCs w:val="21"/>
        </w:rPr>
        <w:t>Model for QA Innovation in State HHS Programs:</w:t>
      </w:r>
      <w:r w:rsidRPr="00406DBD">
        <w:rPr>
          <w:rFonts w:cs="Arial"/>
          <w:b/>
          <w:bCs/>
          <w:color w:val="0D0D0D" w:themeColor="text1" w:themeTint="F2"/>
          <w:szCs w:val="21"/>
        </w:rPr>
        <w:br/>
      </w:r>
      <w:r w:rsidRPr="00406DBD">
        <w:rPr>
          <w:rFonts w:cs="Arial"/>
          <w:color w:val="0D0D0D" w:themeColor="text1" w:themeTint="F2"/>
          <w:szCs w:val="21"/>
        </w:rPr>
        <w:t>The success of the Arizona DES program established a replicable model for cloud-era QA modernization</w:t>
      </w:r>
      <w:r>
        <w:rPr>
          <w:rFonts w:cs="Arial"/>
          <w:color w:val="0D0D0D" w:themeColor="text1" w:themeTint="F2"/>
          <w:szCs w:val="21"/>
        </w:rPr>
        <w:t xml:space="preserve"> </w:t>
      </w:r>
      <w:r w:rsidRPr="00406DBD">
        <w:rPr>
          <w:rFonts w:cs="Arial"/>
          <w:color w:val="0D0D0D" w:themeColor="text1" w:themeTint="F2"/>
          <w:szCs w:val="21"/>
        </w:rPr>
        <w:t>combining automation, analytics, and cross-vendor collaboration. This approach directly parallels CalSAWS’ own goals for modernization, operational visibility, and high-quality service delivery across counties and benefit programs.</w:t>
      </w:r>
    </w:p>
    <w:p w14:paraId="298DACC3" w14:textId="77777777" w:rsidR="00E24597" w:rsidRDefault="00E24597" w:rsidP="00F2577D">
      <w:pPr>
        <w:pStyle w:val="CS-IBMResponseText"/>
        <w:rPr>
          <w:b/>
          <w:bCs/>
          <w:color w:val="0070C0"/>
        </w:rPr>
      </w:pPr>
    </w:p>
    <w:p w14:paraId="1C77CFF3" w14:textId="5846A751" w:rsidR="00491270" w:rsidRPr="00AA4A1C" w:rsidRDefault="00491270" w:rsidP="00F2577D">
      <w:pPr>
        <w:pStyle w:val="CS-IBMResponseText"/>
        <w:rPr>
          <w:color w:val="0070C0"/>
          <w:sz w:val="28"/>
          <w:szCs w:val="28"/>
        </w:rPr>
      </w:pPr>
      <w:r w:rsidRPr="00AA4A1C">
        <w:rPr>
          <w:color w:val="0070C0"/>
          <w:sz w:val="28"/>
          <w:szCs w:val="28"/>
        </w:rPr>
        <w:t>Metrics</w:t>
      </w:r>
    </w:p>
    <w:p w14:paraId="0C313603" w14:textId="25250C21" w:rsidR="00491270" w:rsidRPr="00DA0139" w:rsidRDefault="00491270" w:rsidP="00F44652">
      <w:pPr>
        <w:pStyle w:val="CS-IBMResponseText"/>
      </w:pPr>
      <w:r w:rsidRPr="00DA0139">
        <w:t>IBM consistently achieves high standards across multiple domains, underscored by quantifiable metrics:</w:t>
      </w:r>
    </w:p>
    <w:p w14:paraId="1F90EFB5" w14:textId="172B978E" w:rsidR="004C791F" w:rsidRDefault="004C791F" w:rsidP="004C791F">
      <w:pPr>
        <w:pStyle w:val="Caption"/>
        <w:keepNext/>
        <w:jc w:val="center"/>
      </w:pPr>
      <w:bookmarkStart w:id="9" w:name="_Toc213069335"/>
      <w:r>
        <w:t xml:space="preserve">Table 4.1.1. </w:t>
      </w:r>
      <w:r>
        <w:fldChar w:fldCharType="begin"/>
      </w:r>
      <w:r>
        <w:instrText xml:space="preserve"> SEQ Table_4.1.1. \* ARABIC </w:instrText>
      </w:r>
      <w:r>
        <w:fldChar w:fldCharType="separate"/>
      </w:r>
      <w:r w:rsidR="00FB29F8">
        <w:rPr>
          <w:noProof/>
        </w:rPr>
        <w:t>2</w:t>
      </w:r>
      <w:r>
        <w:fldChar w:fldCharType="end"/>
      </w:r>
      <w:r>
        <w:t xml:space="preserve"> </w:t>
      </w:r>
      <w:r w:rsidRPr="00823B61">
        <w:t>Arizona DES Metrics</w:t>
      </w:r>
      <w:bookmarkEnd w:id="9"/>
    </w:p>
    <w:tbl>
      <w:tblPr>
        <w:tblStyle w:val="PlainTable1"/>
        <w:tblW w:w="0" w:type="auto"/>
        <w:tblInd w:w="0" w:type="dxa"/>
        <w:tblBorders>
          <w:top w:val="single" w:sz="4" w:space="0" w:color="7FDBFF" w:themeColor="accent2" w:themeTint="66"/>
          <w:left w:val="single" w:sz="4" w:space="0" w:color="7FDBFF" w:themeColor="accent2" w:themeTint="66"/>
          <w:bottom w:val="single" w:sz="4" w:space="0" w:color="7FDBFF" w:themeColor="accent2" w:themeTint="66"/>
          <w:right w:val="single" w:sz="4" w:space="0" w:color="7FDBFF" w:themeColor="accent2" w:themeTint="66"/>
          <w:insideH w:val="single" w:sz="4" w:space="0" w:color="7FDBFF" w:themeColor="accent2" w:themeTint="66"/>
          <w:insideV w:val="single" w:sz="4" w:space="0" w:color="7FDBFF" w:themeColor="accent2" w:themeTint="66"/>
        </w:tblBorders>
        <w:tblLook w:val="0480" w:firstRow="0" w:lastRow="0" w:firstColumn="1" w:lastColumn="0" w:noHBand="0" w:noVBand="1"/>
      </w:tblPr>
      <w:tblGrid>
        <w:gridCol w:w="3595"/>
        <w:gridCol w:w="5659"/>
      </w:tblGrid>
      <w:tr w:rsidR="002142C6" w14:paraId="040A6C37" w14:textId="77777777" w:rsidTr="00C029ED">
        <w:trPr>
          <w:trHeight w:val="795"/>
        </w:trPr>
        <w:tc>
          <w:tcPr>
            <w:cnfStyle w:val="001000000000" w:firstRow="0" w:lastRow="0" w:firstColumn="1" w:lastColumn="0" w:oddVBand="0" w:evenVBand="0" w:oddHBand="0" w:evenHBand="0" w:firstRowFirstColumn="0" w:firstRowLastColumn="0" w:lastRowFirstColumn="0" w:lastRowLastColumn="0"/>
            <w:tcW w:w="3595" w:type="dxa"/>
            <w:shd w:val="clear" w:color="auto" w:fill="BFEDFF" w:themeFill="accent2" w:themeFillTint="33"/>
          </w:tcPr>
          <w:p w14:paraId="7ABF6775" w14:textId="77777777" w:rsidR="00F44652" w:rsidRPr="007F691E" w:rsidRDefault="00F44652" w:rsidP="000C7BF6">
            <w:pPr>
              <w:pStyle w:val="CS-IBMBullet1"/>
              <w:numPr>
                <w:ilvl w:val="0"/>
                <w:numId w:val="0"/>
              </w:numPr>
              <w:rPr>
                <w:rFonts w:eastAsia="IBM Plex Sans"/>
              </w:rPr>
            </w:pPr>
            <w:r w:rsidRPr="000C7BF6">
              <w:rPr>
                <w:rFonts w:eastAsia="IBM Plex Sans"/>
                <w:color w:val="00678F" w:themeColor="accent2" w:themeShade="BF"/>
                <w:sz w:val="20"/>
                <w:szCs w:val="20"/>
              </w:rPr>
              <w:t>Retention</w:t>
            </w:r>
          </w:p>
        </w:tc>
        <w:tc>
          <w:tcPr>
            <w:tcW w:w="5659" w:type="dxa"/>
            <w:shd w:val="clear" w:color="auto" w:fill="FFFFFF" w:themeFill="background1"/>
          </w:tcPr>
          <w:p w14:paraId="1BF0E83F" w14:textId="77777777" w:rsidR="00F44652" w:rsidRPr="000C7BF6" w:rsidRDefault="00F44652" w:rsidP="000C7BF6">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color w:val="auto"/>
                <w:sz w:val="20"/>
                <w:szCs w:val="20"/>
              </w:rPr>
            </w:pPr>
            <w:r w:rsidRPr="000C7BF6">
              <w:rPr>
                <w:rFonts w:eastAsia="IBM Plex Sans"/>
                <w:color w:val="auto"/>
                <w:sz w:val="20"/>
                <w:szCs w:val="20"/>
              </w:rPr>
              <w:t>The high retention rate (&gt;95%) within multi-year state programs reflect IBM’s unwavering commitment to stability and employee satisfaction in challenging projects.</w:t>
            </w:r>
          </w:p>
        </w:tc>
      </w:tr>
      <w:tr w:rsidR="002142C6" w14:paraId="35186103" w14:textId="77777777" w:rsidTr="00C029ED">
        <w:trPr>
          <w:trHeight w:val="1055"/>
        </w:trPr>
        <w:tc>
          <w:tcPr>
            <w:cnfStyle w:val="001000000000" w:firstRow="0" w:lastRow="0" w:firstColumn="1" w:lastColumn="0" w:oddVBand="0" w:evenVBand="0" w:oddHBand="0" w:evenHBand="0" w:firstRowFirstColumn="0" w:firstRowLastColumn="0" w:lastRowFirstColumn="0" w:lastRowLastColumn="0"/>
            <w:tcW w:w="3595" w:type="dxa"/>
            <w:shd w:val="clear" w:color="auto" w:fill="BFEDFF" w:themeFill="accent2" w:themeFillTint="33"/>
          </w:tcPr>
          <w:p w14:paraId="1EE63DB8" w14:textId="77777777" w:rsidR="00F44652" w:rsidRPr="007F691E" w:rsidRDefault="00F44652" w:rsidP="000C7BF6">
            <w:pPr>
              <w:pStyle w:val="CS-IBMBullet1"/>
              <w:numPr>
                <w:ilvl w:val="0"/>
                <w:numId w:val="0"/>
              </w:numPr>
              <w:rPr>
                <w:rFonts w:eastAsia="IBM Plex Sans"/>
                <w:b w:val="0"/>
              </w:rPr>
            </w:pPr>
            <w:r w:rsidRPr="000C7BF6">
              <w:rPr>
                <w:rFonts w:eastAsia="IBM Plex Sans"/>
                <w:color w:val="00678F" w:themeColor="accent2" w:themeShade="BF"/>
                <w:sz w:val="20"/>
                <w:szCs w:val="20"/>
              </w:rPr>
              <w:t>Certifications</w:t>
            </w:r>
          </w:p>
        </w:tc>
        <w:tc>
          <w:tcPr>
            <w:tcW w:w="5659" w:type="dxa"/>
            <w:shd w:val="clear" w:color="auto" w:fill="FFFFFF" w:themeFill="background1"/>
          </w:tcPr>
          <w:p w14:paraId="01DA771E" w14:textId="77777777" w:rsidR="00F44652" w:rsidRPr="000C7BF6" w:rsidRDefault="00F44652">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color w:val="auto"/>
                <w:sz w:val="20"/>
                <w:szCs w:val="20"/>
              </w:rPr>
            </w:pPr>
            <w:r w:rsidRPr="000C7BF6">
              <w:rPr>
                <w:rFonts w:eastAsia="IBM Plex Sans"/>
                <w:color w:val="auto"/>
                <w:sz w:val="20"/>
                <w:szCs w:val="20"/>
              </w:rPr>
              <w:t>With 85% of IBM’s QA staff holding ISTQB, Agile, or Cloud certifications, the team is well-prepared to meet specialized demands, including tailored training programs for CalSAWS.</w:t>
            </w:r>
          </w:p>
        </w:tc>
      </w:tr>
      <w:tr w:rsidR="002142C6" w14:paraId="7E7D2551" w14:textId="77777777" w:rsidTr="00C029ED">
        <w:trPr>
          <w:trHeight w:val="58"/>
        </w:trPr>
        <w:tc>
          <w:tcPr>
            <w:cnfStyle w:val="001000000000" w:firstRow="0" w:lastRow="0" w:firstColumn="1" w:lastColumn="0" w:oddVBand="0" w:evenVBand="0" w:oddHBand="0" w:evenHBand="0" w:firstRowFirstColumn="0" w:firstRowLastColumn="0" w:lastRowFirstColumn="0" w:lastRowLastColumn="0"/>
            <w:tcW w:w="3595" w:type="dxa"/>
            <w:shd w:val="clear" w:color="auto" w:fill="BFEDFF" w:themeFill="accent2" w:themeFillTint="33"/>
          </w:tcPr>
          <w:p w14:paraId="034E82E4" w14:textId="77777777" w:rsidR="00F44652" w:rsidRPr="007F691E" w:rsidRDefault="00F44652" w:rsidP="000C7BF6">
            <w:pPr>
              <w:pStyle w:val="CS-IBMBullet1"/>
              <w:numPr>
                <w:ilvl w:val="0"/>
                <w:numId w:val="0"/>
              </w:numPr>
              <w:rPr>
                <w:rFonts w:eastAsia="IBM Plex Sans"/>
                <w:b w:val="0"/>
              </w:rPr>
            </w:pPr>
            <w:r w:rsidRPr="000C7BF6">
              <w:rPr>
                <w:rFonts w:eastAsia="IBM Plex Sans"/>
                <w:color w:val="00678F" w:themeColor="accent2" w:themeShade="BF"/>
                <w:sz w:val="20"/>
                <w:szCs w:val="20"/>
              </w:rPr>
              <w:t>Efficiency</w:t>
            </w:r>
          </w:p>
        </w:tc>
        <w:tc>
          <w:tcPr>
            <w:tcW w:w="5659" w:type="dxa"/>
            <w:shd w:val="clear" w:color="auto" w:fill="FFFFFF" w:themeFill="background1"/>
          </w:tcPr>
          <w:p w14:paraId="7600244A" w14:textId="77777777" w:rsidR="00F44652" w:rsidRPr="000C7BF6" w:rsidRDefault="00F44652">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color w:val="auto"/>
                <w:sz w:val="20"/>
                <w:szCs w:val="20"/>
              </w:rPr>
            </w:pPr>
            <w:r w:rsidRPr="000C7BF6">
              <w:rPr>
                <w:rFonts w:eastAsia="IBM Plex Sans"/>
                <w:color w:val="auto"/>
                <w:sz w:val="20"/>
                <w:szCs w:val="20"/>
              </w:rPr>
              <w:t>IBM's automation strategies have contributed to a reduction of regression cycle times by 25-40%, underscoring the company's commitment to efficiency.</w:t>
            </w:r>
          </w:p>
        </w:tc>
      </w:tr>
      <w:tr w:rsidR="002142C6" w14:paraId="75A395D4" w14:textId="77777777" w:rsidTr="00C029ED">
        <w:trPr>
          <w:trHeight w:val="1241"/>
        </w:trPr>
        <w:tc>
          <w:tcPr>
            <w:cnfStyle w:val="001000000000" w:firstRow="0" w:lastRow="0" w:firstColumn="1" w:lastColumn="0" w:oddVBand="0" w:evenVBand="0" w:oddHBand="0" w:evenHBand="0" w:firstRowFirstColumn="0" w:firstRowLastColumn="0" w:lastRowFirstColumn="0" w:lastRowLastColumn="0"/>
            <w:tcW w:w="3595" w:type="dxa"/>
            <w:shd w:val="clear" w:color="auto" w:fill="BFEDFF" w:themeFill="accent2" w:themeFillTint="33"/>
          </w:tcPr>
          <w:p w14:paraId="220D7D8D" w14:textId="77777777" w:rsidR="00F44652" w:rsidRPr="007F691E" w:rsidRDefault="00F44652" w:rsidP="000C7BF6">
            <w:pPr>
              <w:pStyle w:val="CS-IBMBullet1"/>
              <w:numPr>
                <w:ilvl w:val="0"/>
                <w:numId w:val="0"/>
              </w:numPr>
              <w:rPr>
                <w:rFonts w:eastAsia="IBM Plex Sans"/>
                <w:b w:val="0"/>
              </w:rPr>
            </w:pPr>
            <w:r w:rsidRPr="000C7BF6">
              <w:rPr>
                <w:rFonts w:eastAsia="IBM Plex Sans"/>
                <w:color w:val="00678F" w:themeColor="accent2" w:themeShade="BF"/>
                <w:sz w:val="20"/>
                <w:szCs w:val="20"/>
              </w:rPr>
              <w:lastRenderedPageBreak/>
              <w:t>Productivity Shift</w:t>
            </w:r>
          </w:p>
        </w:tc>
        <w:tc>
          <w:tcPr>
            <w:tcW w:w="5659" w:type="dxa"/>
            <w:shd w:val="clear" w:color="auto" w:fill="FFFFFF" w:themeFill="background1"/>
          </w:tcPr>
          <w:p w14:paraId="7A965E10" w14:textId="77777777" w:rsidR="00F44652" w:rsidRPr="001B715F" w:rsidRDefault="00F44652" w:rsidP="000C7BF6">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b/>
                <w:color w:val="0070C0"/>
                <w:sz w:val="20"/>
                <w:szCs w:val="18"/>
              </w:rPr>
            </w:pPr>
            <w:r w:rsidRPr="000C7BF6">
              <w:rPr>
                <w:rFonts w:eastAsia="IBM Plex Sans"/>
                <w:color w:val="auto"/>
                <w:sz w:val="20"/>
                <w:szCs w:val="20"/>
              </w:rPr>
              <w:t>IBM achieves cost savings and productivity boosts by dynamically optimizing the onsite/US based CIC e staffing ratio over a projected six-year timeline.</w:t>
            </w:r>
          </w:p>
        </w:tc>
      </w:tr>
    </w:tbl>
    <w:p w14:paraId="691E223E" w14:textId="77777777" w:rsidR="00AA4A1C" w:rsidRDefault="00AA4A1C" w:rsidP="00F2577D">
      <w:pPr>
        <w:pStyle w:val="CS-IBMResponseText"/>
        <w:rPr>
          <w:b/>
          <w:bCs/>
          <w:color w:val="0070C0"/>
        </w:rPr>
      </w:pPr>
    </w:p>
    <w:p w14:paraId="1242D50B" w14:textId="77777777" w:rsidR="00491270" w:rsidRPr="00AA4A1C" w:rsidRDefault="00491270" w:rsidP="00F2577D">
      <w:pPr>
        <w:pStyle w:val="CS-IBMResponseText"/>
        <w:rPr>
          <w:color w:val="0070C0"/>
          <w:sz w:val="28"/>
          <w:szCs w:val="24"/>
        </w:rPr>
      </w:pPr>
      <w:r w:rsidRPr="00AA4A1C">
        <w:rPr>
          <w:color w:val="0070C0"/>
          <w:sz w:val="28"/>
          <w:szCs w:val="24"/>
        </w:rPr>
        <w:t>Conclusion</w:t>
      </w:r>
    </w:p>
    <w:p w14:paraId="28F3C138" w14:textId="77777777" w:rsidR="00491270" w:rsidRPr="00DA0139" w:rsidRDefault="00491270" w:rsidP="00F2577D">
      <w:pPr>
        <w:pStyle w:val="CS-IBMResponseText"/>
      </w:pPr>
      <w:r w:rsidRPr="00DA0139">
        <w:t>IBM's comprehensive approach combines robust staffing solutions with an advanced quality assurance (QA) strategy, effectively addressing the CalSAWS Consortium's need for dynamic and innovative QA services. Emphasizing high standards and future readiness, IBM's methodology equips CalSAWS to adapt and tackle forthcoming challenges with agility and expertise. By leveraging strategic collaborations in CalSAWS’ multi-vendor environment and integrating cutting-edge technology, IBM aligns seamlessly with the vision for CalSAWS as a rapidly evolving and interconnected system.</w:t>
      </w:r>
    </w:p>
    <w:p w14:paraId="2A4839FE" w14:textId="77777777" w:rsidR="00491270" w:rsidRPr="00DA0139" w:rsidRDefault="00491270" w:rsidP="00F2577D">
      <w:pPr>
        <w:pStyle w:val="CS-IBMResponseText"/>
      </w:pPr>
      <w:r w:rsidRPr="00DA0139">
        <w:t>The adept application of advanced tools, strategic partnerships, and rigorous metrics fosters continuous improvement and responsiveness, crucial for the success of initiatives like CalSAWS. Integrating AI-driven methods not only boosts efficiency but also ensures adaptability to technological shifts, cementing IBM's role as an invaluable partner and collaborator with the Consortium and CalSAWS’ incumbent technology partners. With a commitment to stability, innovation, and cost-efficiency, IBM positions itself as a pivotal ally in advancing the objectives of the CalSAWS project.</w:t>
      </w:r>
    </w:p>
    <w:p w14:paraId="0661B4B1" w14:textId="77777777" w:rsidR="00576D12" w:rsidRDefault="00576D12">
      <w:pPr>
        <w:spacing w:before="0" w:after="0"/>
        <w:rPr>
          <w:rFonts w:cs="Arial"/>
          <w:color w:val="106288"/>
          <w:sz w:val="32"/>
          <w:szCs w:val="36"/>
        </w:rPr>
      </w:pPr>
      <w:r>
        <w:br w:type="page"/>
      </w:r>
    </w:p>
    <w:p w14:paraId="132D9A37" w14:textId="11E199EC" w:rsidR="00491270" w:rsidRPr="000E2D0A" w:rsidRDefault="00491270" w:rsidP="00BD3452">
      <w:pPr>
        <w:pStyle w:val="Heading3"/>
      </w:pPr>
      <w:r w:rsidRPr="000E2D0A">
        <w:lastRenderedPageBreak/>
        <w:t xml:space="preserve"> </w:t>
      </w:r>
      <w:bookmarkStart w:id="10" w:name="_Toc211641139"/>
      <w:bookmarkStart w:id="11" w:name="_Toc213070146"/>
      <w:r w:rsidRPr="000E2D0A">
        <w:t>UA2</w:t>
      </w:r>
      <w:bookmarkEnd w:id="10"/>
      <w:r w:rsidR="00443B2A">
        <w:t xml:space="preserve"> – </w:t>
      </w:r>
      <w:r w:rsidR="008F79B5">
        <w:t xml:space="preserve">Staffing Approach Provides Capability and Flexibility </w:t>
      </w:r>
      <w:r w:rsidR="00011DF2">
        <w:t>for New Changes</w:t>
      </w:r>
      <w:bookmarkEnd w:id="11"/>
    </w:p>
    <w:p w14:paraId="5781F1B1" w14:textId="77777777" w:rsidR="00491270" w:rsidRPr="00D44AE9" w:rsidRDefault="00491270" w:rsidP="00CF7600">
      <w:pPr>
        <w:pStyle w:val="CS-RFPBodyText"/>
        <w:numPr>
          <w:ilvl w:val="0"/>
          <w:numId w:val="39"/>
        </w:numPr>
        <w:spacing w:before="0" w:after="0"/>
        <w:rPr>
          <w:i/>
          <w:szCs w:val="22"/>
        </w:rPr>
      </w:pPr>
      <w:bookmarkStart w:id="12" w:name="OLE_LINK2"/>
      <w:r w:rsidRPr="00D44AE9">
        <w:rPr>
          <w:i/>
          <w:szCs w:val="22"/>
        </w:rPr>
        <w:t xml:space="preserve">The CalSAWS project has historically required large, one-time system change initiatives due to legislative requirements or new technology requirements. </w:t>
      </w:r>
    </w:p>
    <w:p w14:paraId="2F21F89B" w14:textId="77777777" w:rsidR="00491270" w:rsidRPr="00D44AE9" w:rsidRDefault="00491270" w:rsidP="00CF7600">
      <w:pPr>
        <w:pStyle w:val="CS-RFPBodyText"/>
        <w:numPr>
          <w:ilvl w:val="0"/>
          <w:numId w:val="39"/>
        </w:numPr>
        <w:spacing w:before="0" w:after="0"/>
        <w:rPr>
          <w:i/>
          <w:szCs w:val="22"/>
        </w:rPr>
      </w:pPr>
      <w:r w:rsidRPr="00D44AE9">
        <w:rPr>
          <w:i/>
          <w:szCs w:val="22"/>
        </w:rPr>
        <w:t>Describe how your staffing approach will provide the capability and flexibility within the QA team to adjust to significant increases and/or changes within the CalSAWS System to accommodate new business functions or technology.</w:t>
      </w:r>
    </w:p>
    <w:p w14:paraId="454B1BF7" w14:textId="77777777" w:rsidR="00491270" w:rsidRPr="00D44AE9" w:rsidRDefault="00491270" w:rsidP="00CF7600">
      <w:pPr>
        <w:pStyle w:val="CS-RFPBodyText"/>
        <w:numPr>
          <w:ilvl w:val="0"/>
          <w:numId w:val="39"/>
        </w:numPr>
        <w:spacing w:before="0" w:after="0"/>
        <w:rPr>
          <w:i/>
          <w:szCs w:val="22"/>
        </w:rPr>
      </w:pPr>
      <w:r w:rsidRPr="00D44AE9">
        <w:rPr>
          <w:i/>
          <w:szCs w:val="22"/>
        </w:rPr>
        <w:t>Provide demonstrated examples from previous QA projects as applicable.</w:t>
      </w:r>
    </w:p>
    <w:p w14:paraId="5F607FCA" w14:textId="53993157" w:rsidR="00AA4A1C" w:rsidRDefault="00AA4A1C" w:rsidP="00F2577D">
      <w:pPr>
        <w:pStyle w:val="CS-IBMResponseText"/>
        <w:rPr>
          <w:b/>
          <w:bCs/>
          <w:color w:val="0070C0"/>
        </w:rPr>
      </w:pPr>
      <w:bookmarkStart w:id="13" w:name="_Toc211641140"/>
      <w:bookmarkStart w:id="14" w:name="OLE_LINK3"/>
    </w:p>
    <w:p w14:paraId="6D7C9B69" w14:textId="77777777" w:rsidR="00491270" w:rsidRPr="00AA4A1C" w:rsidRDefault="00491270" w:rsidP="00F2577D">
      <w:pPr>
        <w:pStyle w:val="CS-IBMResponseText"/>
        <w:rPr>
          <w:color w:val="0070C0"/>
          <w:sz w:val="28"/>
          <w:szCs w:val="28"/>
        </w:rPr>
      </w:pPr>
      <w:r w:rsidRPr="00AA4A1C">
        <w:rPr>
          <w:color w:val="0070C0"/>
          <w:sz w:val="28"/>
          <w:szCs w:val="28"/>
        </w:rPr>
        <w:t>IBM Understanding</w:t>
      </w:r>
      <w:bookmarkEnd w:id="13"/>
    </w:p>
    <w:p w14:paraId="6062EC53" w14:textId="1F304A87" w:rsidR="00491270" w:rsidRPr="00DA0139" w:rsidRDefault="00491270" w:rsidP="00F2577D">
      <w:pPr>
        <w:pStyle w:val="CS-IBMResponseText"/>
      </w:pPr>
      <w:r w:rsidRPr="00DA0139">
        <w:t>CalSAWS has historically faced surges in demand from large legislative mandates, such as the recently passed HR 1 legislation that greatly affects the CalFRESH and Medi-Cal program regulations, the CalSAWS’ system and potentially the BenefitsCal system.</w:t>
      </w:r>
      <w:r w:rsidR="00CF3725">
        <w:t xml:space="preserve"> </w:t>
      </w:r>
      <w:r w:rsidRPr="00DA0139">
        <w:t>CalSAWS’ modernization roadmap requires the adoption of new technology and the modular, micro-services oriented re-architecture of CalSAWS on AWS native tools and technologies.</w:t>
      </w:r>
      <w:r w:rsidR="00CF3725">
        <w:t xml:space="preserve"> </w:t>
      </w:r>
      <w:r w:rsidRPr="00DA0139">
        <w:t xml:space="preserve">Large-scale initiatives require rapid, large-scale changes to the system within compressed timelines. IBM understands the Consortium’s need for QA staffing that is flexible, surge-capable, knowledgeable in Health and Human Services public assistance programs and CalSAWS </w:t>
      </w:r>
      <w:r w:rsidR="005011D3">
        <w:t xml:space="preserve">technology and </w:t>
      </w:r>
      <w:r w:rsidRPr="00DA0139">
        <w:t>functionality.</w:t>
      </w:r>
      <w:r w:rsidR="00CF3725">
        <w:t xml:space="preserve"> </w:t>
      </w:r>
      <w:r w:rsidRPr="00DA0139">
        <w:t>IBM places emphasis on being responsive to all of these needs while maintaining quality and stability.</w:t>
      </w:r>
    </w:p>
    <w:p w14:paraId="44197CC6" w14:textId="77777777" w:rsidR="00AA4A1C" w:rsidRDefault="00AA4A1C" w:rsidP="00F2577D">
      <w:pPr>
        <w:pStyle w:val="CS-IBMResponseText"/>
        <w:rPr>
          <w:color w:val="0070C0"/>
          <w:sz w:val="28"/>
          <w:szCs w:val="28"/>
        </w:rPr>
      </w:pPr>
      <w:bookmarkStart w:id="15" w:name="_Toc211641141"/>
    </w:p>
    <w:p w14:paraId="4E111C9F" w14:textId="77777777" w:rsidR="00491270" w:rsidRPr="00AA4A1C" w:rsidRDefault="00491270" w:rsidP="00F2577D">
      <w:pPr>
        <w:pStyle w:val="CS-IBMResponseText"/>
        <w:rPr>
          <w:color w:val="0070C0"/>
          <w:sz w:val="28"/>
          <w:szCs w:val="28"/>
        </w:rPr>
      </w:pPr>
      <w:r w:rsidRPr="00AA4A1C">
        <w:rPr>
          <w:color w:val="0070C0"/>
          <w:sz w:val="28"/>
          <w:szCs w:val="28"/>
        </w:rPr>
        <w:t>Introduction</w:t>
      </w:r>
      <w:bookmarkEnd w:id="15"/>
    </w:p>
    <w:p w14:paraId="0183CBE5" w14:textId="4A89FE7A" w:rsidR="00491270" w:rsidRPr="00DA0139" w:rsidRDefault="00491270" w:rsidP="00F2577D">
      <w:pPr>
        <w:pStyle w:val="CS-IBMResponseText"/>
      </w:pPr>
      <w:r w:rsidRPr="00DA0139">
        <w:t>IBM’s QA staffing model is designed with surge flexibility at its core. Leveraging a hybrid onsite/ US based CIC</w:t>
      </w:r>
      <w:r w:rsidR="00CF3725">
        <w:t xml:space="preserve"> </w:t>
      </w:r>
      <w:r w:rsidRPr="00DA0139">
        <w:t xml:space="preserve">model and a Surge Staffing Playbook, IBM can rapidly expand QA capacity by 30–40% within four weeks while maintaining governance alignment and knowledge continuity. This ensures CalSAWS can meet legislative deadlines and absorb major </w:t>
      </w:r>
      <w:r w:rsidR="00797206" w:rsidRPr="00DA0139">
        <w:t>technological</w:t>
      </w:r>
      <w:r w:rsidRPr="00DA0139">
        <w:t xml:space="preserve"> shifts without compromising service quality.</w:t>
      </w:r>
    </w:p>
    <w:p w14:paraId="144B16DD" w14:textId="77777777" w:rsidR="00AA4A1C" w:rsidRDefault="00AA4A1C" w:rsidP="0068156B">
      <w:pPr>
        <w:pStyle w:val="CS-IBMResponseText"/>
        <w:keepNext/>
        <w:rPr>
          <w:b/>
          <w:bCs/>
          <w:color w:val="0070C0"/>
        </w:rPr>
      </w:pPr>
      <w:bookmarkStart w:id="16" w:name="_Toc211641142"/>
    </w:p>
    <w:p w14:paraId="3831B249" w14:textId="77777777" w:rsidR="00491270" w:rsidRPr="00AA4A1C" w:rsidRDefault="00491270" w:rsidP="0068156B">
      <w:pPr>
        <w:pStyle w:val="CS-IBMResponseText"/>
        <w:keepNext/>
        <w:rPr>
          <w:color w:val="0070C0"/>
          <w:sz w:val="28"/>
          <w:szCs w:val="28"/>
        </w:rPr>
      </w:pPr>
      <w:r w:rsidRPr="00AA4A1C">
        <w:rPr>
          <w:color w:val="0070C0"/>
          <w:sz w:val="28"/>
          <w:szCs w:val="28"/>
        </w:rPr>
        <w:t>Approach</w:t>
      </w:r>
      <w:bookmarkEnd w:id="16"/>
    </w:p>
    <w:p w14:paraId="659166CC" w14:textId="77777777" w:rsidR="00491270" w:rsidRPr="0068156B" w:rsidRDefault="00491270" w:rsidP="0068156B">
      <w:pPr>
        <w:pStyle w:val="CS-IBMResponseText"/>
        <w:keepNext/>
        <w:rPr>
          <w:b/>
          <w:bCs/>
        </w:rPr>
      </w:pPr>
      <w:r w:rsidRPr="0068156B">
        <w:rPr>
          <w:b/>
          <w:bCs/>
        </w:rPr>
        <w:t>Surge Staffing Playbook</w:t>
      </w:r>
    </w:p>
    <w:p w14:paraId="162181F8" w14:textId="77504773" w:rsidR="00491270" w:rsidRPr="00DA0139" w:rsidRDefault="00491270" w:rsidP="00F2577D">
      <w:pPr>
        <w:pStyle w:val="CS-IBMResponseText"/>
      </w:pPr>
      <w:r w:rsidRPr="00DA0139">
        <w:t xml:space="preserve">IBM employs a Surge Staffing Playbook designed to efficiently respond to sudden increases in demand driven by legislative changes or system upgrades. This playbook includes pre-trained resource pools specifically crafted with Health and Human Services (HHS) Quality Assurance (QA) expertise, ensuring the immediate availability of skilled personnel familiar with the intricacies of CalSAWS and the public assistance </w:t>
      </w:r>
      <w:r w:rsidR="00733501" w:rsidRPr="00DA0139">
        <w:t>programs</w:t>
      </w:r>
      <w:r w:rsidRPr="00DA0139">
        <w:t xml:space="preserve"> administered by CalSAWS. This strategy allows IBM to quickly mobilize teams that are prepared to handle complex and sizable system adjustments without loss of quality or efficiency. The playbook details specific procedures and guidelines for resource allocation, ensuring that IBM can adapt to fluctuations in project demands seamlessly.</w:t>
      </w:r>
    </w:p>
    <w:p w14:paraId="1E83C31D" w14:textId="77777777" w:rsidR="00491270" w:rsidRPr="0068156B" w:rsidRDefault="00491270" w:rsidP="00F2577D">
      <w:pPr>
        <w:pStyle w:val="CS-IBMResponseText"/>
        <w:rPr>
          <w:b/>
          <w:bCs/>
        </w:rPr>
      </w:pPr>
      <w:r w:rsidRPr="0068156B">
        <w:rPr>
          <w:b/>
          <w:bCs/>
        </w:rPr>
        <w:t>On-Demand Specialists</w:t>
      </w:r>
    </w:p>
    <w:p w14:paraId="3FE0F5F8" w14:textId="77777777" w:rsidR="00491270" w:rsidRPr="00DA0139" w:rsidRDefault="00491270" w:rsidP="00F2577D">
      <w:pPr>
        <w:pStyle w:val="CS-IBMResponseText"/>
      </w:pPr>
      <w:r w:rsidRPr="00DA0139">
        <w:lastRenderedPageBreak/>
        <w:t>IBM's approach includes a unique feature of deploying on-demand specialists who can be rapidly brought in to enhance QA processes during high-volume cycles. These specialists comprise project management, automation, performance, and AI experts, who ensure the integration of sophisticated tools and techniques to optimize the QA cycle. By swiftly incorporating these specialists, IBM enhances both speed and accuracy of testing, maintaining rigorous standards while accelerating the pace of technology adoption and integration within the CalSAWS environment.</w:t>
      </w:r>
    </w:p>
    <w:p w14:paraId="3448FB0B" w14:textId="77777777" w:rsidR="00491270" w:rsidRPr="0068156B" w:rsidRDefault="00491270" w:rsidP="00F2577D">
      <w:pPr>
        <w:pStyle w:val="CS-IBMResponseText"/>
        <w:rPr>
          <w:b/>
          <w:bCs/>
        </w:rPr>
      </w:pPr>
      <w:r w:rsidRPr="0068156B">
        <w:rPr>
          <w:b/>
          <w:bCs/>
        </w:rPr>
        <w:t>Scalable Model</w:t>
      </w:r>
    </w:p>
    <w:p w14:paraId="6ED3A791" w14:textId="77777777" w:rsidR="00491270" w:rsidRPr="00DA0139" w:rsidRDefault="00491270" w:rsidP="00F2577D">
      <w:pPr>
        <w:pStyle w:val="CS-IBMResponseText"/>
      </w:pPr>
      <w:r w:rsidRPr="00DA0139">
        <w:t>The scalable model is a cornerstone of IBM’s staffing strategy, characterized by elastic QA squads that can expand or contract in concert with legislative timelines. This model ensures that IBM can provide a dynamic and responsive QA service that matches the evolving needs of the CalSAWS system and Consortium. These squads are equipped to handle the variabilities in demand, allowing for a responsive and timely adaptation to legislative changes, while maintaining continuous delivery of high-quality results.</w:t>
      </w:r>
    </w:p>
    <w:p w14:paraId="48D045F5" w14:textId="0973623C" w:rsidR="00491270" w:rsidRPr="00780B57" w:rsidRDefault="00491270" w:rsidP="00F2577D">
      <w:pPr>
        <w:pStyle w:val="CS-IBMResponseText"/>
        <w:rPr>
          <w:b/>
          <w:bCs/>
        </w:rPr>
      </w:pPr>
      <w:r w:rsidRPr="00780B57">
        <w:rPr>
          <w:b/>
          <w:bCs/>
        </w:rPr>
        <w:t>Hybrid Onsite &amp; US</w:t>
      </w:r>
      <w:r w:rsidR="0088541D">
        <w:rPr>
          <w:b/>
          <w:bCs/>
        </w:rPr>
        <w:t>-</w:t>
      </w:r>
      <w:r w:rsidRPr="00780B57">
        <w:rPr>
          <w:b/>
          <w:bCs/>
        </w:rPr>
        <w:t>based CIC</w:t>
      </w:r>
      <w:r w:rsidR="00CF3725">
        <w:rPr>
          <w:b/>
          <w:bCs/>
        </w:rPr>
        <w:t xml:space="preserve"> </w:t>
      </w:r>
      <w:r w:rsidRPr="00780B57">
        <w:rPr>
          <w:b/>
          <w:bCs/>
        </w:rPr>
        <w:t>Model</w:t>
      </w:r>
    </w:p>
    <w:p w14:paraId="7918B193" w14:textId="6B53A2CE" w:rsidR="00491270" w:rsidRPr="00DA0139" w:rsidRDefault="00491270" w:rsidP="00F2577D">
      <w:pPr>
        <w:pStyle w:val="CS-IBMResponseText"/>
      </w:pPr>
      <w:r w:rsidRPr="00DA0139">
        <w:t xml:space="preserve">IBM’s hybrid staffing approach effectively balances onsite leadership with a scalable  US based </w:t>
      </w:r>
      <w:r w:rsidR="004D01E7">
        <w:t>remote</w:t>
      </w:r>
      <w:r w:rsidRPr="00DA0139">
        <w:t xml:space="preserve"> capacity. In the CalSAWS Gold River headquarters, IBM deploys key roles including QA leads, Project Management Office (PMO) integration, technical advisors, and functional Subject Matter Experts (SMEs) to provide direct oversight and governance alignment. This ensures that strategic directives and immediate project needs are met locally. Meanwhile, CIC</w:t>
      </w:r>
      <w:r w:rsidR="00CF3725">
        <w:t xml:space="preserve"> </w:t>
      </w:r>
      <w:r w:rsidRPr="00DA0139">
        <w:t>resources located in Client Innovation Centers (CICs) in Lansing, Michigan, extend scalable QA delivery across automation, functional, and technical streams. This model not only provides local expertise but also offers scalable support to manage and execute tasks efficiently.</w:t>
      </w:r>
    </w:p>
    <w:p w14:paraId="436151FB" w14:textId="77777777" w:rsidR="00491270" w:rsidRPr="00780B57" w:rsidRDefault="00491270" w:rsidP="00F2577D">
      <w:pPr>
        <w:pStyle w:val="CS-IBMResponseText"/>
        <w:rPr>
          <w:b/>
          <w:bCs/>
        </w:rPr>
      </w:pPr>
      <w:r w:rsidRPr="00780B57">
        <w:rPr>
          <w:b/>
          <w:bCs/>
        </w:rPr>
        <w:t>Flexible Resource Mix</w:t>
      </w:r>
    </w:p>
    <w:p w14:paraId="0792F483" w14:textId="77777777" w:rsidR="00491270" w:rsidRPr="00DA0139" w:rsidRDefault="00491270" w:rsidP="00F2577D">
      <w:pPr>
        <w:pStyle w:val="CS-IBMResponseText"/>
      </w:pPr>
      <w:r w:rsidRPr="00DA0139">
        <w:t>IBM’s resource allocation strategy includes a flexible mix of resources to handle maintenance and operations (M&amp;O) and enhancement activities effectively:</w:t>
      </w:r>
    </w:p>
    <w:p w14:paraId="2BBAEF67" w14:textId="4A240268" w:rsidR="00491270" w:rsidRPr="00DA0139" w:rsidRDefault="00491270" w:rsidP="00107B93">
      <w:pPr>
        <w:pStyle w:val="CS-IBMBullet1"/>
      </w:pPr>
      <w:r w:rsidRPr="00107B93">
        <w:rPr>
          <w:b/>
          <w:bCs/>
        </w:rPr>
        <w:t xml:space="preserve">M&amp;O Teams: </w:t>
      </w:r>
      <w:r w:rsidRPr="00DA0139">
        <w:t>Comprise six onsite and nine Lansing CIC</w:t>
      </w:r>
      <w:r w:rsidR="00CF3725">
        <w:t xml:space="preserve"> </w:t>
      </w:r>
      <w:r w:rsidRPr="00DA0139">
        <w:t>resources to manage ongoing maintenance activities efficiently.</w:t>
      </w:r>
    </w:p>
    <w:p w14:paraId="3D7F0388" w14:textId="79FB7E1F" w:rsidR="00491270" w:rsidRPr="00DA0139" w:rsidRDefault="00491270" w:rsidP="00107B93">
      <w:pPr>
        <w:pStyle w:val="CS-IBMBullet1"/>
      </w:pPr>
      <w:r w:rsidRPr="00107B93">
        <w:rPr>
          <w:b/>
          <w:bCs/>
        </w:rPr>
        <w:t xml:space="preserve">Enhancement Teams: </w:t>
      </w:r>
      <w:r w:rsidRPr="00DA0139">
        <w:t>Consist of five onsite and eleven Lansing CIC members, focusing on system enhancements and upgrades.</w:t>
      </w:r>
    </w:p>
    <w:p w14:paraId="4CB74C53" w14:textId="77777777" w:rsidR="00491270" w:rsidRPr="00DA0139" w:rsidRDefault="00491270" w:rsidP="00F2577D">
      <w:pPr>
        <w:pStyle w:val="CS-IBMResponseText"/>
      </w:pPr>
      <w:r w:rsidRPr="00DA0139">
        <w:t>This balanced resource distribution allows IBM to address day-to-day operational demands while also maintaining the agility to enhance and innovate as required.</w:t>
      </w:r>
    </w:p>
    <w:p w14:paraId="2EF7F6C7" w14:textId="77777777" w:rsidR="00491270" w:rsidRPr="009E0024" w:rsidRDefault="00491270" w:rsidP="00F2577D">
      <w:pPr>
        <w:pStyle w:val="CS-IBMResponseText"/>
        <w:rPr>
          <w:b/>
          <w:bCs/>
        </w:rPr>
      </w:pPr>
      <w:r w:rsidRPr="009E0024">
        <w:rPr>
          <w:b/>
          <w:bCs/>
        </w:rPr>
        <w:t>Surge Capacity for Legislative Initiatives</w:t>
      </w:r>
    </w:p>
    <w:p w14:paraId="79C2F5F9" w14:textId="77777777" w:rsidR="00491270" w:rsidRPr="00DA0139" w:rsidRDefault="00491270" w:rsidP="00F2577D">
      <w:pPr>
        <w:pStyle w:val="CS-IBMResponseText"/>
      </w:pPr>
      <w:r w:rsidRPr="00DA0139">
        <w:t xml:space="preserve">IBM has developed a robust model to rapidly scale staffing to meet legislative-driven surges. By leveraging CIC resources, IBM can quickly activate pre-trained QA engineers and other staff as appropriate with specialized experience in integrated eligibility systems such as CalSAWS, and in the administration of California-specific public assistance programs including Medi-Cal, CalFRESH, CalWORKs, General Assistance, Foster Care, and Refugee Cash Assistance. This capability ensures IBM can respond promptly to significant policy reforms such as HR 1, which directly impacts Medi-Cal and CalFRESH, and other state or federal mandates affecting the CalSAWS ecosystem. In doing so, IBM enables the Consortium to ensure that the CalSAWS system remains fully </w:t>
      </w:r>
      <w:r w:rsidRPr="00DA0139">
        <w:lastRenderedPageBreak/>
        <w:t>compliant with existing and new public assistance rules and regulations, facilitating accurate eligibility determination and benefit computation (EDBC).</w:t>
      </w:r>
    </w:p>
    <w:p w14:paraId="47D3570E" w14:textId="77777777" w:rsidR="00491270" w:rsidRPr="009E0024" w:rsidRDefault="00491270" w:rsidP="00F2577D">
      <w:pPr>
        <w:pStyle w:val="CS-IBMResponseText"/>
        <w:rPr>
          <w:b/>
          <w:bCs/>
        </w:rPr>
      </w:pPr>
      <w:r w:rsidRPr="009E0024">
        <w:rPr>
          <w:b/>
          <w:bCs/>
        </w:rPr>
        <w:t>Productivity Levers Over Time</w:t>
      </w:r>
    </w:p>
    <w:p w14:paraId="11BF9798" w14:textId="77777777" w:rsidR="00491270" w:rsidRPr="00DA0139" w:rsidRDefault="00491270" w:rsidP="009E0024">
      <w:pPr>
        <w:pStyle w:val="CS-IBMBullet1"/>
      </w:pPr>
      <w:r w:rsidRPr="009E0024">
        <w:rPr>
          <w:b/>
          <w:bCs/>
        </w:rPr>
        <w:t xml:space="preserve">Primary levers: </w:t>
      </w:r>
      <w:r w:rsidRPr="00DA0139">
        <w:t>AI accelerators, automation frameworks, predictive analytics.</w:t>
      </w:r>
    </w:p>
    <w:p w14:paraId="7E275E15" w14:textId="216A8099" w:rsidR="00491270" w:rsidRPr="00DA0139" w:rsidRDefault="00491270" w:rsidP="009E0024">
      <w:pPr>
        <w:pStyle w:val="CS-IBMBullet1"/>
      </w:pPr>
      <w:r w:rsidRPr="009E0024">
        <w:rPr>
          <w:b/>
          <w:bCs/>
        </w:rPr>
        <w:t xml:space="preserve">Secondary levers: </w:t>
      </w:r>
      <w:r w:rsidRPr="00DA0139">
        <w:t>Optimized staffing ratios evolving from 40/60 onsite/US based CIC</w:t>
      </w:r>
      <w:r w:rsidR="00CF3725">
        <w:t xml:space="preserve"> </w:t>
      </w:r>
      <w:r w:rsidRPr="00DA0139">
        <w:t xml:space="preserve">in Year 1 to </w:t>
      </w:r>
      <w:r w:rsidR="00AB2E13">
        <w:t>25</w:t>
      </w:r>
      <w:r w:rsidRPr="00DA0139">
        <w:t>/7</w:t>
      </w:r>
      <w:r w:rsidR="00AB2E13">
        <w:t>5</w:t>
      </w:r>
      <w:r w:rsidRPr="00DA0139">
        <w:t xml:space="preserve"> by Year 6.</w:t>
      </w:r>
    </w:p>
    <w:p w14:paraId="475150DA" w14:textId="77777777" w:rsidR="00491270" w:rsidRPr="00DA0139" w:rsidRDefault="00491270" w:rsidP="00F2577D">
      <w:pPr>
        <w:pStyle w:val="CS-IBMResponseText"/>
      </w:pPr>
      <w:r w:rsidRPr="00DA0139">
        <w:t>Transformation focus ensures productivity gains first from innovation, then from staffing optimization.</w:t>
      </w:r>
    </w:p>
    <w:p w14:paraId="7416F020" w14:textId="77777777" w:rsidR="00491270" w:rsidRPr="009E0024" w:rsidRDefault="00491270" w:rsidP="00F2577D">
      <w:pPr>
        <w:pStyle w:val="CS-IBMResponseText"/>
        <w:rPr>
          <w:b/>
          <w:bCs/>
        </w:rPr>
      </w:pPr>
      <w:r w:rsidRPr="009E0024">
        <w:rPr>
          <w:b/>
          <w:bCs/>
        </w:rPr>
        <w:t>Continuity + Flexibility</w:t>
      </w:r>
    </w:p>
    <w:p w14:paraId="416242CB" w14:textId="26EF237D" w:rsidR="000948FB" w:rsidRDefault="00491270" w:rsidP="000948FB">
      <w:pPr>
        <w:pStyle w:val="CS-IBMResponseText"/>
      </w:pPr>
      <w:r w:rsidRPr="00DA0139">
        <w:t>The dual emphasis on continuity and flexibility is pivotal to IBM’s strategy. Core onsite staff provide essential institutional knowledge, maintain governance alignment, and foster stakeholder trust. Concurrently,</w:t>
      </w:r>
      <w:r w:rsidR="00CF3725">
        <w:t xml:space="preserve"> </w:t>
      </w:r>
      <w:r w:rsidRPr="00DA0139">
        <w:t>CIC teams manage the demands of scaling operations, offering stability across both Business-As-Usual (BAU) initiatives and surge periods. This dual structure guarantees that IBM remains a reliable and adaptable partner, capable of meeting the diverse needs and challenges faced by the CalSAWS Consortium.</w:t>
      </w:r>
      <w:r w:rsidR="000948FB" w:rsidRPr="00DA0139">
        <w:t xml:space="preserve"> </w:t>
      </w:r>
    </w:p>
    <w:p w14:paraId="0FB6913A" w14:textId="00A29F89" w:rsidR="006C000B" w:rsidRDefault="006C000B" w:rsidP="006C000B">
      <w:pPr>
        <w:pStyle w:val="Caption"/>
        <w:keepNext/>
        <w:jc w:val="center"/>
      </w:pPr>
      <w:r>
        <w:t xml:space="preserve">Table 4.1.2. </w:t>
      </w:r>
      <w:r>
        <w:fldChar w:fldCharType="begin"/>
      </w:r>
      <w:r>
        <w:instrText xml:space="preserve"> SEQ Table_4.1.2. \* ARABIC </w:instrText>
      </w:r>
      <w:r>
        <w:fldChar w:fldCharType="separate"/>
      </w:r>
      <w:r>
        <w:rPr>
          <w:noProof/>
        </w:rPr>
        <w:t>1</w:t>
      </w:r>
      <w:r>
        <w:fldChar w:fldCharType="end"/>
      </w:r>
      <w:r>
        <w:t xml:space="preserve"> Sample M&amp;O Staffing Mix</w:t>
      </w:r>
    </w:p>
    <w:p w14:paraId="2DAEC7B1" w14:textId="77777777" w:rsidR="00A82685" w:rsidRDefault="00A6397B" w:rsidP="00A82685">
      <w:pPr>
        <w:pStyle w:val="CS-IBMResponseText"/>
        <w:keepNext/>
      </w:pPr>
      <w:r w:rsidRPr="00A6397B">
        <w:rPr>
          <w:noProof/>
        </w:rPr>
        <w:drawing>
          <wp:inline distT="0" distB="0" distL="0" distR="0" wp14:anchorId="09D483FB" wp14:editId="195E59FD">
            <wp:extent cx="5943600" cy="913130"/>
            <wp:effectExtent l="0" t="0" r="0" b="1270"/>
            <wp:docPr id="347927057"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927057" name="Picture 1" descr="A table with numbers and letters&#10;&#10;AI-generated content may be incorrect."/>
                    <pic:cNvPicPr/>
                  </pic:nvPicPr>
                  <pic:blipFill>
                    <a:blip r:embed="rId11"/>
                    <a:stretch>
                      <a:fillRect/>
                    </a:stretch>
                  </pic:blipFill>
                  <pic:spPr>
                    <a:xfrm>
                      <a:off x="0" y="0"/>
                      <a:ext cx="5943600" cy="913130"/>
                    </a:xfrm>
                    <a:prstGeom prst="rect">
                      <a:avLst/>
                    </a:prstGeom>
                  </pic:spPr>
                </pic:pic>
              </a:graphicData>
            </a:graphic>
          </wp:inline>
        </w:drawing>
      </w:r>
    </w:p>
    <w:p w14:paraId="1E740AF9" w14:textId="77777777" w:rsidR="006C000B" w:rsidRDefault="006C000B" w:rsidP="00F2577D">
      <w:pPr>
        <w:pStyle w:val="CS-IBMResponseText"/>
        <w:rPr>
          <w:color w:val="0070C0"/>
          <w:sz w:val="28"/>
          <w:szCs w:val="28"/>
        </w:rPr>
      </w:pPr>
      <w:bookmarkStart w:id="17" w:name="_Toc211641143"/>
    </w:p>
    <w:p w14:paraId="5E589D21" w14:textId="77449E26" w:rsidR="00491270" w:rsidRPr="00A82685" w:rsidRDefault="00491270" w:rsidP="00F2577D">
      <w:pPr>
        <w:pStyle w:val="CS-IBMResponseText"/>
      </w:pPr>
      <w:r w:rsidRPr="00AA4A1C">
        <w:rPr>
          <w:color w:val="0070C0"/>
          <w:sz w:val="28"/>
          <w:szCs w:val="28"/>
        </w:rPr>
        <w:t>Solution</w:t>
      </w:r>
      <w:bookmarkEnd w:id="17"/>
    </w:p>
    <w:p w14:paraId="0890D342" w14:textId="50F3132E" w:rsidR="00491270" w:rsidRPr="00DA0139" w:rsidRDefault="00491270" w:rsidP="008E3F80">
      <w:pPr>
        <w:pStyle w:val="CS-IBMBullet1"/>
      </w:pPr>
      <w:r w:rsidRPr="008E3F80">
        <w:rPr>
          <w:b/>
          <w:bCs/>
        </w:rPr>
        <w:t>Onsite Stabilizing Staff:</w:t>
      </w:r>
      <w:r w:rsidRPr="00DA0139">
        <w:t xml:space="preserve"> IBM’s </w:t>
      </w:r>
      <w:r w:rsidR="00D621DE">
        <w:t>Gold River</w:t>
      </w:r>
      <w:r w:rsidRPr="00DA0139">
        <w:t>-based team forms the foundation of our QA delivery model. These staff members, including QA leads, functional SMEs, and technical advisors, provide the Consortium with direct governance alignment, face-to-face collaboration, and continuity of institutional knowledge. Their physical presence ensures that the QA perspective is consistently represented in cross-vendor discussions, Consortium governance forums, and county interactions. This local anchor allows for rapid decision-making, issue resolution, and trust building, even during periods of significant change.</w:t>
      </w:r>
    </w:p>
    <w:p w14:paraId="5F117B9F" w14:textId="71CBB2DE" w:rsidR="00491270" w:rsidRPr="00DA0139" w:rsidRDefault="00491270" w:rsidP="008E3F80">
      <w:pPr>
        <w:pStyle w:val="CS-IBMBullet1"/>
      </w:pPr>
      <w:r w:rsidRPr="008E3F80">
        <w:rPr>
          <w:b/>
          <w:bCs/>
        </w:rPr>
        <w:t>US based CIC</w:t>
      </w:r>
      <w:r w:rsidR="00CF3725">
        <w:rPr>
          <w:b/>
          <w:bCs/>
        </w:rPr>
        <w:t xml:space="preserve"> </w:t>
      </w:r>
      <w:r w:rsidRPr="008E3F80">
        <w:rPr>
          <w:b/>
          <w:bCs/>
        </w:rPr>
        <w:t xml:space="preserve">Surge Pods: </w:t>
      </w:r>
      <w:r w:rsidRPr="00DA0139">
        <w:t>To complement the onsite team, IBM leverages our Client Innovation Center (CIC) in Lansing, Michigan, as a surge-ready delivery hub. These “elastic pods” are pre-trained in HHS QA practices and can be rapidly mobilized to expand QA capacity in response to legislative deadlines or technology initiatives. The CIC</w:t>
      </w:r>
      <w:r w:rsidR="00CF3725">
        <w:t xml:space="preserve"> </w:t>
      </w:r>
      <w:r w:rsidRPr="00DA0139">
        <w:t xml:space="preserve">model provides scalability within U.S. time zones, ensuring real-time collaboration while maintaining cost efficiency. During surge periods, these pods bring in </w:t>
      </w:r>
      <w:r w:rsidR="00E66276">
        <w:t xml:space="preserve">project managers, </w:t>
      </w:r>
      <w:r w:rsidR="00180683">
        <w:t xml:space="preserve">business </w:t>
      </w:r>
      <w:r w:rsidR="00D272C4">
        <w:t>analysts</w:t>
      </w:r>
      <w:r w:rsidR="00180683">
        <w:t>,</w:t>
      </w:r>
      <w:r w:rsidR="00180683" w:rsidRPr="00DA0139">
        <w:t xml:space="preserve"> </w:t>
      </w:r>
      <w:r w:rsidR="00180683">
        <w:t xml:space="preserve">functional testers, </w:t>
      </w:r>
      <w:r w:rsidRPr="00DA0139">
        <w:t xml:space="preserve">automation </w:t>
      </w:r>
      <w:r w:rsidR="00755D6A">
        <w:t>and</w:t>
      </w:r>
      <w:r w:rsidRPr="00DA0139">
        <w:t xml:space="preserve"> performance testers, and specialists who can integrate seamlessly with the </w:t>
      </w:r>
      <w:r w:rsidR="00D866BE">
        <w:t>Gold-River</w:t>
      </w:r>
      <w:r w:rsidRPr="00DA0139">
        <w:t>-based core team and be onsite at CalSAWS when needed.</w:t>
      </w:r>
      <w:r w:rsidR="00CF3725">
        <w:t xml:space="preserve"> </w:t>
      </w:r>
    </w:p>
    <w:p w14:paraId="3CC06F7C" w14:textId="16FEEF36" w:rsidR="00491270" w:rsidRPr="00DA0139" w:rsidRDefault="00491270" w:rsidP="008E3F80">
      <w:pPr>
        <w:pStyle w:val="CS-IBMBullet1"/>
      </w:pPr>
      <w:r w:rsidRPr="008E3F80">
        <w:rPr>
          <w:b/>
          <w:bCs/>
        </w:rPr>
        <w:lastRenderedPageBreak/>
        <w:t xml:space="preserve">Balanced Resource Mix: </w:t>
      </w:r>
      <w:r w:rsidRPr="00DA0139">
        <w:t>Our staffing strategy deliberately evolves over time to drive efficiency without sacrificing service quality. In Year 1, IBM proposes a 40% onsite / 60% US based CIC</w:t>
      </w:r>
      <w:r w:rsidR="00CF3725">
        <w:t xml:space="preserve"> </w:t>
      </w:r>
      <w:r w:rsidRPr="00DA0139">
        <w:t xml:space="preserve">ratio to establish strong governance and knowledge transfer. By Year 6, the model is optimized to 25% onsite / 75% US based CIC </w:t>
      </w:r>
      <w:r w:rsidR="004C7A9F">
        <w:t>subject to Consortium approval</w:t>
      </w:r>
      <w:r w:rsidRPr="00DA0139">
        <w:t>, reflecting the Consortium’s need for cost-effective scalability while preserving critical onsite leadership.</w:t>
      </w:r>
    </w:p>
    <w:p w14:paraId="3D81B107" w14:textId="77777777" w:rsidR="00491270" w:rsidRPr="00DA0139" w:rsidRDefault="00491270" w:rsidP="008E3F80">
      <w:pPr>
        <w:pStyle w:val="CS-IBMBullet1"/>
      </w:pPr>
      <w:r w:rsidRPr="008E3F80">
        <w:rPr>
          <w:b/>
          <w:bCs/>
        </w:rPr>
        <w:t xml:space="preserve">Knowledge Continuity: </w:t>
      </w:r>
      <w:r w:rsidRPr="00DA0139">
        <w:t>To ensure stability through change, IBM implements structured knowledge management practices, including shadow staffing for key roles, documented succession planning, and robust repositories for requirements and testing assets. This safeguards institutional knowledge, minimizes disruption during staff transitions, and ensures that even during surge events, delivery quality remains consistent and predictable.</w:t>
      </w:r>
    </w:p>
    <w:p w14:paraId="3017CF34" w14:textId="201638D1" w:rsidR="00DF167D" w:rsidRDefault="00DF167D" w:rsidP="00DF167D">
      <w:pPr>
        <w:pStyle w:val="CS-IBMBullet1"/>
        <w:numPr>
          <w:ilvl w:val="0"/>
          <w:numId w:val="0"/>
        </w:numPr>
        <w:rPr>
          <w:b/>
          <w:bCs/>
        </w:rPr>
      </w:pPr>
    </w:p>
    <w:p w14:paraId="445BE1FC" w14:textId="74D22FAB" w:rsidR="00B062DB" w:rsidRDefault="00F60FAE" w:rsidP="00DF167D">
      <w:pPr>
        <w:pStyle w:val="CS-IBMBullet1"/>
        <w:numPr>
          <w:ilvl w:val="0"/>
          <w:numId w:val="0"/>
        </w:numPr>
        <w:rPr>
          <w:b/>
          <w:bCs/>
        </w:rPr>
      </w:pPr>
      <w:r>
        <w:rPr>
          <w:b/>
          <w:bCs/>
        </w:rPr>
        <w:t xml:space="preserve">IBM is utilizing key staff and </w:t>
      </w:r>
      <w:r w:rsidR="006D52D9">
        <w:rPr>
          <w:b/>
          <w:bCs/>
        </w:rPr>
        <w:t>functional teams</w:t>
      </w:r>
      <w:r>
        <w:rPr>
          <w:b/>
          <w:bCs/>
        </w:rPr>
        <w:t xml:space="preserve"> to </w:t>
      </w:r>
      <w:r w:rsidR="00315EF2">
        <w:rPr>
          <w:b/>
          <w:bCs/>
        </w:rPr>
        <w:t>support the</w:t>
      </w:r>
      <w:r w:rsidR="00834167">
        <w:rPr>
          <w:b/>
          <w:bCs/>
        </w:rPr>
        <w:t xml:space="preserve"> capability and flexibility </w:t>
      </w:r>
      <w:r w:rsidR="00315EF2">
        <w:rPr>
          <w:b/>
          <w:bCs/>
        </w:rPr>
        <w:t>needed on</w:t>
      </w:r>
      <w:r>
        <w:rPr>
          <w:b/>
          <w:bCs/>
        </w:rPr>
        <w:t xml:space="preserve"> CalSAWS QA efforts:</w:t>
      </w:r>
    </w:p>
    <w:p w14:paraId="4776BF49" w14:textId="4FE2DD1C" w:rsidR="00D72FBE" w:rsidRDefault="00D72FBE" w:rsidP="00D72FBE">
      <w:pPr>
        <w:pStyle w:val="Caption"/>
        <w:keepNext/>
        <w:jc w:val="center"/>
      </w:pPr>
      <w:bookmarkStart w:id="18" w:name="_Toc213069325"/>
      <w:r>
        <w:t xml:space="preserve">Table 4.1.2. </w:t>
      </w:r>
      <w:r>
        <w:fldChar w:fldCharType="begin"/>
      </w:r>
      <w:r>
        <w:instrText xml:space="preserve"> SEQ Table_4.1.2. \* ARABIC </w:instrText>
      </w:r>
      <w:r>
        <w:fldChar w:fldCharType="separate"/>
      </w:r>
      <w:r w:rsidR="006C000B">
        <w:rPr>
          <w:noProof/>
        </w:rPr>
        <w:t>2</w:t>
      </w:r>
      <w:r>
        <w:fldChar w:fldCharType="end"/>
      </w:r>
      <w:r>
        <w:t xml:space="preserve"> </w:t>
      </w:r>
      <w:r w:rsidRPr="00865408">
        <w:t>Flexible and Capable Key Staff and Functional teams for CalSAWS system changes</w:t>
      </w:r>
      <w:bookmarkEnd w:id="18"/>
    </w:p>
    <w:tbl>
      <w:tblPr>
        <w:tblStyle w:val="TableGrid10"/>
        <w:tblW w:w="0" w:type="auto"/>
        <w:tblInd w:w="0"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3055"/>
        <w:gridCol w:w="6295"/>
      </w:tblGrid>
      <w:tr w:rsidR="00DF167D" w:rsidRPr="00DF167D" w14:paraId="28B01E42" w14:textId="77777777" w:rsidTr="008565AB">
        <w:trPr>
          <w:cnfStyle w:val="100000000000" w:firstRow="1" w:lastRow="0" w:firstColumn="0" w:lastColumn="0" w:oddVBand="0" w:evenVBand="0" w:oddHBand="0" w:evenHBand="0" w:firstRowFirstColumn="0" w:firstRowLastColumn="0" w:lastRowFirstColumn="0" w:lastRowLastColumn="0"/>
        </w:trPr>
        <w:tc>
          <w:tcPr>
            <w:tcW w:w="3055" w:type="dxa"/>
            <w:shd w:val="clear" w:color="auto" w:fill="0070C0"/>
          </w:tcPr>
          <w:p w14:paraId="42D03E53" w14:textId="77777777" w:rsidR="00DF167D" w:rsidRPr="00725431" w:rsidRDefault="00DF167D" w:rsidP="00DF167D">
            <w:pPr>
              <w:spacing w:before="60"/>
              <w:rPr>
                <w:rFonts w:eastAsia="IBM Plex Sans" w:cs="Arial"/>
                <w:b/>
                <w:bCs/>
                <w:color w:val="FFFFFF" w:themeColor="background1"/>
                <w:sz w:val="20"/>
                <w:szCs w:val="18"/>
              </w:rPr>
            </w:pPr>
            <w:r w:rsidRPr="00725431">
              <w:rPr>
                <w:rFonts w:eastAsia="IBM Plex Sans" w:cs="Arial"/>
                <w:b/>
                <w:bCs/>
                <w:color w:val="FFFFFF" w:themeColor="background1"/>
                <w:sz w:val="20"/>
                <w:szCs w:val="18"/>
              </w:rPr>
              <w:t>Roles (</w:t>
            </w:r>
            <w:r w:rsidRPr="00725431">
              <w:rPr>
                <w:rFonts w:eastAsia="IBM Plex Sans" w:cs="Arial"/>
                <w:i/>
                <w:iCs/>
                <w:color w:val="FFFFFF" w:themeColor="background1"/>
                <w:szCs w:val="21"/>
              </w:rPr>
              <w:t>*Key Staff)</w:t>
            </w:r>
          </w:p>
        </w:tc>
        <w:tc>
          <w:tcPr>
            <w:tcW w:w="6295" w:type="dxa"/>
            <w:shd w:val="clear" w:color="auto" w:fill="0070C0"/>
          </w:tcPr>
          <w:p w14:paraId="49F3CA99" w14:textId="77777777" w:rsidR="00DF167D" w:rsidRPr="00725431" w:rsidRDefault="00DF167D" w:rsidP="00DF167D">
            <w:pPr>
              <w:spacing w:before="60"/>
              <w:rPr>
                <w:rFonts w:eastAsia="IBM Plex Sans" w:cs="Arial"/>
                <w:b/>
                <w:bCs/>
                <w:color w:val="FFFFFF" w:themeColor="background1"/>
                <w:sz w:val="20"/>
                <w:szCs w:val="18"/>
              </w:rPr>
            </w:pPr>
            <w:r w:rsidRPr="00725431">
              <w:rPr>
                <w:rFonts w:eastAsia="IBM Plex Sans" w:cs="Arial"/>
                <w:b/>
                <w:bCs/>
                <w:color w:val="FFFFFF" w:themeColor="background1"/>
                <w:sz w:val="20"/>
                <w:szCs w:val="18"/>
              </w:rPr>
              <w:t>Description</w:t>
            </w:r>
          </w:p>
        </w:tc>
      </w:tr>
      <w:tr w:rsidR="00DF167D" w:rsidRPr="00DF167D" w14:paraId="0A93BC80" w14:textId="77777777" w:rsidTr="008565AB">
        <w:tc>
          <w:tcPr>
            <w:tcW w:w="3055" w:type="dxa"/>
          </w:tcPr>
          <w:p w14:paraId="6E4FC1A3" w14:textId="77777777" w:rsidR="008565AB" w:rsidRDefault="00DF167D" w:rsidP="00DF167D">
            <w:pPr>
              <w:spacing w:before="60"/>
              <w:rPr>
                <w:rFonts w:eastAsia="IBM Plex Sans" w:cs="Arial"/>
                <w:sz w:val="20"/>
                <w:szCs w:val="18"/>
              </w:rPr>
            </w:pPr>
            <w:r w:rsidRPr="00DF167D">
              <w:rPr>
                <w:rFonts w:eastAsia="IBM Plex Sans" w:cs="Arial"/>
                <w:sz w:val="20"/>
                <w:szCs w:val="18"/>
              </w:rPr>
              <w:t xml:space="preserve">Quality Assurance (QA) </w:t>
            </w:r>
          </w:p>
          <w:p w14:paraId="0785992E" w14:textId="0E29A29B" w:rsidR="00DF167D" w:rsidRPr="00DF167D" w:rsidRDefault="00DF167D" w:rsidP="00DF167D">
            <w:pPr>
              <w:spacing w:before="60"/>
              <w:rPr>
                <w:rFonts w:eastAsia="IBM Plex Sans" w:cs="Arial"/>
                <w:sz w:val="20"/>
                <w:szCs w:val="18"/>
              </w:rPr>
            </w:pPr>
            <w:r w:rsidRPr="00DF167D">
              <w:rPr>
                <w:rFonts w:eastAsia="IBM Plex Sans" w:cs="Arial"/>
                <w:sz w:val="20"/>
                <w:szCs w:val="18"/>
              </w:rPr>
              <w:t>Project Manager*</w:t>
            </w:r>
          </w:p>
        </w:tc>
        <w:tc>
          <w:tcPr>
            <w:tcW w:w="6295" w:type="dxa"/>
          </w:tcPr>
          <w:p w14:paraId="526CC65D" w14:textId="2FEA2700" w:rsidR="003A5AA1" w:rsidRPr="003A5AA1" w:rsidRDefault="003A5AA1" w:rsidP="002225C3">
            <w:pPr>
              <w:spacing w:before="60"/>
              <w:rPr>
                <w:rFonts w:eastAsia="IBM Plex Sans" w:cs="Arial"/>
                <w:sz w:val="20"/>
                <w:szCs w:val="18"/>
              </w:rPr>
            </w:pPr>
            <w:r w:rsidRPr="003A5AA1">
              <w:rPr>
                <w:rFonts w:eastAsia="IBM Plex Sans" w:cs="Arial"/>
                <w:sz w:val="20"/>
                <w:szCs w:val="18"/>
              </w:rPr>
              <w:t xml:space="preserve">Krishna Menon </w:t>
            </w:r>
            <w:r>
              <w:rPr>
                <w:rFonts w:eastAsia="IBM Plex Sans" w:cs="Arial"/>
                <w:sz w:val="20"/>
                <w:szCs w:val="18"/>
              </w:rPr>
              <w:t xml:space="preserve">is proposed as the QA Project Manager. He has </w:t>
            </w:r>
            <w:r w:rsidRPr="003A5AA1">
              <w:rPr>
                <w:rFonts w:eastAsia="IBM Plex Sans" w:cs="Arial"/>
                <w:sz w:val="20"/>
                <w:szCs w:val="18"/>
              </w:rPr>
              <w:t>successfully managed the DHCS Provider Portal Modernization Program under the CA-MMIS program, leading a team of 100+ technical professionals across eight SAFe Agile squads. He directed comprehensive project planning, scheduling, budgeting, resource allocation, and risk/issue management in a complex, multi-vendor environment—ensuring delivery on time, within budget, and in full compliance with DHCS and federal standards.</w:t>
            </w:r>
          </w:p>
          <w:p w14:paraId="2D036A08" w14:textId="0E0441C9" w:rsidR="003A5AA1" w:rsidRPr="003A5AA1" w:rsidRDefault="003A5AA1" w:rsidP="002225C3">
            <w:pPr>
              <w:spacing w:before="60"/>
              <w:rPr>
                <w:rFonts w:eastAsia="IBM Plex Sans" w:cs="Arial"/>
                <w:sz w:val="20"/>
                <w:szCs w:val="18"/>
              </w:rPr>
            </w:pPr>
            <w:r w:rsidRPr="003A5AA1">
              <w:rPr>
                <w:rFonts w:eastAsia="IBM Plex Sans" w:cs="Arial"/>
                <w:sz w:val="20"/>
                <w:szCs w:val="18"/>
              </w:rPr>
              <w:t>He designed and maintained detailed project plans, work breakdown structures (WBS), and schedules aligned with SAFe PI planning and Task Order Authorizations (TOAs). Krishna managed project budgets, forecasts, and cost controls, optimizing financial performance while overseeing resource assignment, performance tracking, and cross-team coordination.</w:t>
            </w:r>
          </w:p>
          <w:p w14:paraId="2B522CF7" w14:textId="4CAE04E6" w:rsidR="00DF167D" w:rsidRPr="00DF167D" w:rsidRDefault="003A5AA1" w:rsidP="002225C3">
            <w:pPr>
              <w:spacing w:before="60"/>
              <w:rPr>
                <w:rFonts w:eastAsia="IBM Plex Sans" w:cs="Arial"/>
                <w:sz w:val="20"/>
                <w:szCs w:val="18"/>
              </w:rPr>
            </w:pPr>
            <w:r w:rsidRPr="003A5AA1">
              <w:rPr>
                <w:rFonts w:eastAsia="IBM Plex Sans" w:cs="Arial"/>
                <w:sz w:val="20"/>
                <w:szCs w:val="18"/>
              </w:rPr>
              <w:t>Krishna integrated robust quality assurance practices into all delivery phases. He established QA checkpoints, defined acceptance criteria, and ensured adherence to HIPAA, NIST, and industry best practices. He directed automated and manual testing cycles, including unit, integration, regression, performance, and security testing, to validate system functionality and reliability. He coordinated defect tracking and resolution, monitored quality metrics, and enforced compliance across vendors and teams—ensuring the solution met or exceeded agreed performance, availability, and security targets.</w:t>
            </w:r>
          </w:p>
        </w:tc>
      </w:tr>
      <w:tr w:rsidR="00DF167D" w:rsidRPr="00DF167D" w14:paraId="38B6FCC7" w14:textId="77777777" w:rsidTr="008565AB">
        <w:tc>
          <w:tcPr>
            <w:tcW w:w="3055" w:type="dxa"/>
          </w:tcPr>
          <w:p w14:paraId="60B339E3" w14:textId="77777777" w:rsidR="00DF167D" w:rsidRPr="00DF167D" w:rsidRDefault="00DF167D" w:rsidP="00DF167D">
            <w:pPr>
              <w:spacing w:before="60"/>
              <w:rPr>
                <w:rFonts w:eastAsia="IBM Plex Sans" w:cs="Arial"/>
                <w:sz w:val="20"/>
                <w:szCs w:val="18"/>
              </w:rPr>
            </w:pPr>
            <w:r w:rsidRPr="00DF167D">
              <w:rPr>
                <w:rFonts w:eastAsia="IBM Plex Sans" w:cs="Arial"/>
                <w:sz w:val="20"/>
                <w:szCs w:val="18"/>
              </w:rPr>
              <w:t>QA Functional Manager*</w:t>
            </w:r>
          </w:p>
        </w:tc>
        <w:tc>
          <w:tcPr>
            <w:tcW w:w="6295" w:type="dxa"/>
          </w:tcPr>
          <w:p w14:paraId="56C0ACEE" w14:textId="5364FCDF" w:rsidR="00DF167D" w:rsidRPr="00DF167D" w:rsidRDefault="00DF167D" w:rsidP="00DF167D">
            <w:pPr>
              <w:spacing w:before="60"/>
              <w:rPr>
                <w:rFonts w:eastAsia="IBM Plex Sans" w:cs="Arial"/>
                <w:sz w:val="20"/>
                <w:szCs w:val="18"/>
              </w:rPr>
            </w:pPr>
            <w:r w:rsidRPr="00DF167D">
              <w:rPr>
                <w:rFonts w:eastAsia="IBM Plex Sans" w:cs="Arial"/>
                <w:sz w:val="20"/>
                <w:szCs w:val="18"/>
              </w:rPr>
              <w:t xml:space="preserve">Sourced from KAI Partners, </w:t>
            </w:r>
            <w:r w:rsidR="00146C3B">
              <w:rPr>
                <w:rFonts w:eastAsia="IBM Plex Sans" w:cs="Arial"/>
                <w:sz w:val="20"/>
                <w:szCs w:val="18"/>
              </w:rPr>
              <w:t xml:space="preserve">the proposed key staff of QA Functional Manager, Cheryl Hoffman, </w:t>
            </w:r>
            <w:r w:rsidR="00384AB5">
              <w:rPr>
                <w:rFonts w:eastAsia="IBM Plex Sans" w:cs="Arial"/>
                <w:sz w:val="20"/>
                <w:szCs w:val="18"/>
              </w:rPr>
              <w:t>b</w:t>
            </w:r>
            <w:r w:rsidR="00002813">
              <w:rPr>
                <w:rFonts w:eastAsia="IBM Plex Sans" w:cs="Arial"/>
                <w:sz w:val="20"/>
                <w:szCs w:val="18"/>
              </w:rPr>
              <w:t>rings</w:t>
            </w:r>
            <w:r w:rsidRPr="00DF167D">
              <w:rPr>
                <w:rFonts w:eastAsia="IBM Plex Sans" w:cs="Arial"/>
                <w:sz w:val="20"/>
                <w:szCs w:val="18"/>
              </w:rPr>
              <w:t xml:space="preserve"> deep domain expertise and prior CalSAWS experience to lead functional alignment and testing strategy.</w:t>
            </w:r>
            <w:r w:rsidR="0077685C">
              <w:rPr>
                <w:rFonts w:eastAsia="IBM Plex Sans" w:cs="Arial"/>
                <w:sz w:val="20"/>
                <w:szCs w:val="18"/>
              </w:rPr>
              <w:t xml:space="preserve"> She has over 30 </w:t>
            </w:r>
            <w:r w:rsidR="0016304B">
              <w:rPr>
                <w:rFonts w:eastAsia="IBM Plex Sans" w:cs="Arial"/>
                <w:sz w:val="20"/>
                <w:szCs w:val="18"/>
              </w:rPr>
              <w:t>years of</w:t>
            </w:r>
            <w:r w:rsidR="0077685C" w:rsidRPr="0077685C">
              <w:rPr>
                <w:rFonts w:eastAsia="IBM Plex Sans" w:cs="Arial"/>
                <w:sz w:val="20"/>
                <w:szCs w:val="18"/>
              </w:rPr>
              <w:t xml:space="preserve"> project </w:t>
            </w:r>
            <w:r w:rsidR="0077685C" w:rsidRPr="0077685C">
              <w:rPr>
                <w:rFonts w:eastAsia="IBM Plex Sans" w:cs="Arial"/>
                <w:sz w:val="20"/>
                <w:szCs w:val="18"/>
              </w:rPr>
              <w:lastRenderedPageBreak/>
              <w:t xml:space="preserve">management, business analysis, test management, </w:t>
            </w:r>
            <w:r w:rsidR="0077685C">
              <w:rPr>
                <w:rFonts w:eastAsia="IBM Plex Sans" w:cs="Arial"/>
                <w:sz w:val="20"/>
                <w:szCs w:val="18"/>
              </w:rPr>
              <w:t>s</w:t>
            </w:r>
            <w:r w:rsidR="0077685C" w:rsidRPr="0077685C">
              <w:rPr>
                <w:rFonts w:eastAsia="IBM Plex Sans" w:cs="Arial"/>
                <w:sz w:val="20"/>
                <w:szCs w:val="18"/>
              </w:rPr>
              <w:t>takeholder and vendor</w:t>
            </w:r>
            <w:r w:rsidR="0077685C">
              <w:rPr>
                <w:rFonts w:eastAsia="IBM Plex Sans" w:cs="Arial"/>
                <w:sz w:val="20"/>
                <w:szCs w:val="18"/>
              </w:rPr>
              <w:t xml:space="preserve"> </w:t>
            </w:r>
            <w:r w:rsidR="0077685C" w:rsidRPr="0077685C">
              <w:rPr>
                <w:rFonts w:eastAsia="IBM Plex Sans" w:cs="Arial"/>
                <w:sz w:val="20"/>
                <w:szCs w:val="18"/>
              </w:rPr>
              <w:t>coordination, among others. She previously served as the QA Test Manager for the</w:t>
            </w:r>
            <w:r w:rsidR="0077685C">
              <w:rPr>
                <w:rFonts w:eastAsia="IBM Plex Sans" w:cs="Arial"/>
                <w:sz w:val="20"/>
                <w:szCs w:val="18"/>
              </w:rPr>
              <w:t xml:space="preserve"> </w:t>
            </w:r>
            <w:r w:rsidR="0077685C" w:rsidRPr="0077685C">
              <w:rPr>
                <w:rFonts w:eastAsia="IBM Plex Sans" w:cs="Arial"/>
                <w:sz w:val="20"/>
                <w:szCs w:val="18"/>
              </w:rPr>
              <w:t>CalSAWS project from 2019-21</w:t>
            </w:r>
            <w:r w:rsidR="00BE77C2">
              <w:rPr>
                <w:rFonts w:eastAsia="IBM Plex Sans" w:cs="Arial"/>
                <w:sz w:val="20"/>
                <w:szCs w:val="18"/>
              </w:rPr>
              <w:t>.</w:t>
            </w:r>
          </w:p>
        </w:tc>
      </w:tr>
      <w:tr w:rsidR="00DF167D" w:rsidRPr="00DF167D" w14:paraId="2A70AB93" w14:textId="77777777" w:rsidTr="008565AB">
        <w:tc>
          <w:tcPr>
            <w:tcW w:w="3055" w:type="dxa"/>
          </w:tcPr>
          <w:p w14:paraId="5F0C41B9" w14:textId="77777777" w:rsidR="00DF167D" w:rsidRPr="00DF167D" w:rsidRDefault="00DF167D" w:rsidP="00DF167D">
            <w:pPr>
              <w:spacing w:before="60"/>
              <w:rPr>
                <w:rFonts w:eastAsia="IBM Plex Sans" w:cs="Arial"/>
                <w:sz w:val="20"/>
                <w:szCs w:val="18"/>
              </w:rPr>
            </w:pPr>
            <w:r w:rsidRPr="00DF167D">
              <w:rPr>
                <w:rFonts w:eastAsia="IBM Plex Sans" w:cs="Arial"/>
                <w:sz w:val="20"/>
                <w:szCs w:val="18"/>
              </w:rPr>
              <w:lastRenderedPageBreak/>
              <w:t>QA Test Manager*</w:t>
            </w:r>
          </w:p>
        </w:tc>
        <w:tc>
          <w:tcPr>
            <w:tcW w:w="6295" w:type="dxa"/>
          </w:tcPr>
          <w:p w14:paraId="7114B2B0" w14:textId="085DE4F2" w:rsidR="005459F4" w:rsidRPr="005459F4" w:rsidRDefault="00DF167D" w:rsidP="005459F4">
            <w:pPr>
              <w:spacing w:before="60"/>
              <w:rPr>
                <w:rFonts w:eastAsia="IBM Plex Sans" w:cs="Arial"/>
                <w:sz w:val="20"/>
                <w:szCs w:val="18"/>
              </w:rPr>
            </w:pPr>
            <w:r w:rsidRPr="00DF167D">
              <w:rPr>
                <w:rFonts w:eastAsia="IBM Plex Sans" w:cs="Arial"/>
                <w:sz w:val="20"/>
                <w:szCs w:val="18"/>
              </w:rPr>
              <w:t>Sourced from Speridian Technologies, contributing proven delivery excellence and hands-on experience in large-scale public sector QA programs.</w:t>
            </w:r>
            <w:r w:rsidR="005459F4">
              <w:rPr>
                <w:rFonts w:eastAsia="IBM Plex Sans" w:cs="Arial"/>
                <w:sz w:val="20"/>
                <w:szCs w:val="18"/>
              </w:rPr>
              <w:t xml:space="preserve"> </w:t>
            </w:r>
            <w:r w:rsidR="00163EA0">
              <w:rPr>
                <w:rFonts w:eastAsia="IBM Plex Sans" w:cs="Arial"/>
                <w:sz w:val="20"/>
                <w:szCs w:val="18"/>
              </w:rPr>
              <w:t xml:space="preserve">Speridian is bringing a QA Test Manager, Carrie Harvey </w:t>
            </w:r>
            <w:r w:rsidR="005459F4" w:rsidRPr="005459F4">
              <w:rPr>
                <w:rFonts w:eastAsia="IBM Plex Sans" w:cs="Arial"/>
                <w:sz w:val="20"/>
                <w:szCs w:val="18"/>
              </w:rPr>
              <w:t>who possesses over 40 years of experience in health and human services</w:t>
            </w:r>
            <w:r w:rsidR="00576BA6">
              <w:rPr>
                <w:rFonts w:eastAsia="IBM Plex Sans" w:cs="Arial"/>
                <w:sz w:val="20"/>
                <w:szCs w:val="18"/>
              </w:rPr>
              <w:t xml:space="preserve"> </w:t>
            </w:r>
            <w:r w:rsidR="005459F4" w:rsidRPr="005459F4">
              <w:rPr>
                <w:rFonts w:eastAsia="IBM Plex Sans" w:cs="Arial"/>
                <w:sz w:val="20"/>
                <w:szCs w:val="18"/>
              </w:rPr>
              <w:t>including over 25 years dedicated to Quality Assurance Management. Ms. Harvey has</w:t>
            </w:r>
            <w:r w:rsidR="00576BA6">
              <w:rPr>
                <w:rFonts w:eastAsia="IBM Plex Sans" w:cs="Arial"/>
                <w:sz w:val="20"/>
                <w:szCs w:val="18"/>
              </w:rPr>
              <w:t xml:space="preserve"> </w:t>
            </w:r>
            <w:r w:rsidR="005459F4" w:rsidRPr="005459F4">
              <w:rPr>
                <w:rFonts w:eastAsia="IBM Plex Sans" w:cs="Arial"/>
                <w:sz w:val="20"/>
                <w:szCs w:val="18"/>
              </w:rPr>
              <w:t>served in the CalSAWS ecosystem as a Quality Assurance Manager at CalWin. During</w:t>
            </w:r>
            <w:r w:rsidR="00576BA6">
              <w:rPr>
                <w:rFonts w:eastAsia="IBM Plex Sans" w:cs="Arial"/>
                <w:sz w:val="20"/>
                <w:szCs w:val="18"/>
              </w:rPr>
              <w:t xml:space="preserve"> </w:t>
            </w:r>
            <w:r w:rsidR="005459F4" w:rsidRPr="005459F4">
              <w:rPr>
                <w:rFonts w:eastAsia="IBM Plex Sans" w:cs="Arial"/>
                <w:sz w:val="20"/>
                <w:szCs w:val="18"/>
              </w:rPr>
              <w:t>her tenure with CalWIN, Ms. Harvey led a 40+ member QA team and oversaw Quality</w:t>
            </w:r>
          </w:p>
          <w:p w14:paraId="2DCB8A1A" w14:textId="5295A8B2" w:rsidR="005459F4" w:rsidRPr="005459F4" w:rsidRDefault="005459F4" w:rsidP="005459F4">
            <w:pPr>
              <w:spacing w:before="60"/>
              <w:rPr>
                <w:rFonts w:eastAsia="IBM Plex Sans" w:cs="Arial"/>
                <w:sz w:val="20"/>
                <w:szCs w:val="18"/>
              </w:rPr>
            </w:pPr>
            <w:r w:rsidRPr="005459F4">
              <w:rPr>
                <w:rFonts w:eastAsia="IBM Plex Sans" w:cs="Arial"/>
                <w:sz w:val="20"/>
                <w:szCs w:val="18"/>
              </w:rPr>
              <w:t>Management System (QMS) compliance for ~350 staff across development, project</w:t>
            </w:r>
            <w:r w:rsidR="00576BA6">
              <w:rPr>
                <w:rFonts w:eastAsia="IBM Plex Sans" w:cs="Arial"/>
                <w:sz w:val="20"/>
                <w:szCs w:val="18"/>
              </w:rPr>
              <w:t xml:space="preserve"> </w:t>
            </w:r>
            <w:r w:rsidRPr="005459F4">
              <w:rPr>
                <w:rFonts w:eastAsia="IBM Plex Sans" w:cs="Arial"/>
                <w:sz w:val="20"/>
                <w:szCs w:val="18"/>
              </w:rPr>
              <w:t>management, operations, and applications delivery. She provided more than 10 years</w:t>
            </w:r>
          </w:p>
          <w:p w14:paraId="74423178" w14:textId="380C4390" w:rsidR="00DF167D" w:rsidRPr="00DF167D" w:rsidRDefault="005459F4" w:rsidP="00DF167D">
            <w:pPr>
              <w:spacing w:before="60"/>
              <w:rPr>
                <w:rFonts w:eastAsia="IBM Plex Sans" w:cs="Arial"/>
                <w:sz w:val="20"/>
                <w:szCs w:val="18"/>
              </w:rPr>
            </w:pPr>
            <w:r w:rsidRPr="005459F4">
              <w:rPr>
                <w:rFonts w:eastAsia="IBM Plex Sans" w:cs="Arial"/>
                <w:sz w:val="20"/>
                <w:szCs w:val="18"/>
              </w:rPr>
              <w:t>of QA leadership, applying recognized test methodologies and IEEE in</w:t>
            </w:r>
            <w:r w:rsidR="00576BA6">
              <w:rPr>
                <w:rFonts w:eastAsia="IBM Plex Sans" w:cs="Arial"/>
                <w:sz w:val="20"/>
                <w:szCs w:val="18"/>
              </w:rPr>
              <w:t>dustry standards.</w:t>
            </w:r>
          </w:p>
        </w:tc>
      </w:tr>
      <w:tr w:rsidR="00DF167D" w:rsidRPr="00DF167D" w14:paraId="3F68C266" w14:textId="77777777" w:rsidTr="008565AB">
        <w:tc>
          <w:tcPr>
            <w:tcW w:w="3055" w:type="dxa"/>
          </w:tcPr>
          <w:p w14:paraId="3F72FE4B" w14:textId="53AA7D60" w:rsidR="00DF167D" w:rsidRPr="00DF167D" w:rsidRDefault="00DF167D" w:rsidP="00DF167D">
            <w:pPr>
              <w:spacing w:before="60"/>
              <w:rPr>
                <w:rFonts w:eastAsia="IBM Plex Sans" w:cs="Arial"/>
                <w:sz w:val="20"/>
                <w:szCs w:val="18"/>
              </w:rPr>
            </w:pPr>
            <w:r w:rsidRPr="00DF167D">
              <w:rPr>
                <w:rFonts w:eastAsia="IBM Plex Sans" w:cs="Arial"/>
                <w:sz w:val="20"/>
                <w:szCs w:val="18"/>
              </w:rPr>
              <w:t xml:space="preserve">QA Technical </w:t>
            </w:r>
            <w:r w:rsidR="00146C3B">
              <w:rPr>
                <w:rFonts w:eastAsia="IBM Plex Sans" w:cs="Arial"/>
                <w:sz w:val="20"/>
                <w:szCs w:val="18"/>
              </w:rPr>
              <w:t>M</w:t>
            </w:r>
            <w:r w:rsidRPr="00DF167D">
              <w:rPr>
                <w:rFonts w:eastAsia="IBM Plex Sans" w:cs="Arial"/>
                <w:sz w:val="20"/>
                <w:szCs w:val="18"/>
              </w:rPr>
              <w:t>anager*</w:t>
            </w:r>
          </w:p>
        </w:tc>
        <w:tc>
          <w:tcPr>
            <w:tcW w:w="6295" w:type="dxa"/>
          </w:tcPr>
          <w:p w14:paraId="76C71555" w14:textId="31170BDE" w:rsidR="006A0B7F" w:rsidRPr="006A0B7F" w:rsidRDefault="00122FF3" w:rsidP="006A0B7F">
            <w:pPr>
              <w:spacing w:before="60"/>
              <w:rPr>
                <w:rFonts w:eastAsia="IBM Plex Sans" w:cs="Arial"/>
                <w:sz w:val="20"/>
                <w:szCs w:val="18"/>
              </w:rPr>
            </w:pPr>
            <w:r w:rsidRPr="008C5205">
              <w:rPr>
                <w:rFonts w:eastAsia="IBM Plex Sans" w:cs="Arial"/>
                <w:sz w:val="20"/>
                <w:szCs w:val="18"/>
              </w:rPr>
              <w:t xml:space="preserve">Sivaprakash Ramachandran </w:t>
            </w:r>
            <w:r w:rsidR="000D0E54" w:rsidRPr="008C5205">
              <w:rPr>
                <w:rFonts w:eastAsia="IBM Plex Sans" w:cs="Arial"/>
                <w:sz w:val="20"/>
                <w:szCs w:val="18"/>
              </w:rPr>
              <w:t>is</w:t>
            </w:r>
            <w:r w:rsidR="00DB4496">
              <w:rPr>
                <w:rFonts w:eastAsia="IBM Plex Sans" w:cs="Arial"/>
                <w:sz w:val="20"/>
                <w:szCs w:val="18"/>
              </w:rPr>
              <w:t xml:space="preserve"> proposed as the QA Technical Manager. </w:t>
            </w:r>
            <w:r w:rsidR="00900DE3">
              <w:rPr>
                <w:rFonts w:eastAsia="IBM Plex Sans" w:cs="Arial"/>
                <w:sz w:val="20"/>
                <w:szCs w:val="18"/>
              </w:rPr>
              <w:t xml:space="preserve">He has served </w:t>
            </w:r>
            <w:r w:rsidR="00022818">
              <w:rPr>
                <w:rFonts w:eastAsia="IBM Plex Sans" w:cs="Arial"/>
                <w:sz w:val="20"/>
                <w:szCs w:val="18"/>
              </w:rPr>
              <w:t>and has architected and designed systems</w:t>
            </w:r>
            <w:r w:rsidR="000215F9">
              <w:rPr>
                <w:rFonts w:eastAsia="IBM Plex Sans" w:cs="Arial"/>
                <w:sz w:val="20"/>
                <w:szCs w:val="18"/>
              </w:rPr>
              <w:t xml:space="preserve"> within health and human services</w:t>
            </w:r>
            <w:r w:rsidR="002818EC">
              <w:rPr>
                <w:rFonts w:eastAsia="IBM Plex Sans" w:cs="Arial"/>
                <w:sz w:val="20"/>
                <w:szCs w:val="18"/>
              </w:rPr>
              <w:t xml:space="preserve">. This includes </w:t>
            </w:r>
            <w:r w:rsidR="000215F9">
              <w:rPr>
                <w:rFonts w:eastAsia="IBM Plex Sans" w:cs="Arial"/>
                <w:sz w:val="20"/>
                <w:szCs w:val="18"/>
              </w:rPr>
              <w:t xml:space="preserve">multiple critical systems at CA-MMIS </w:t>
            </w:r>
            <w:r w:rsidR="006A0B7F" w:rsidRPr="006A0B7F">
              <w:rPr>
                <w:rFonts w:eastAsia="IBM Plex Sans" w:cs="Arial"/>
                <w:sz w:val="20"/>
                <w:szCs w:val="18"/>
              </w:rPr>
              <w:t>designed and architect</w:t>
            </w:r>
            <w:r w:rsidR="000215F9">
              <w:rPr>
                <w:rFonts w:eastAsia="IBM Plex Sans" w:cs="Arial"/>
                <w:sz w:val="20"/>
                <w:szCs w:val="18"/>
              </w:rPr>
              <w:t xml:space="preserve">ed. As an IT technical advisor and architect at CA-MMIS, for example, </w:t>
            </w:r>
            <w:r w:rsidR="006A0B7F" w:rsidRPr="006A0B7F">
              <w:rPr>
                <w:rFonts w:eastAsia="IBM Plex Sans" w:cs="Arial"/>
                <w:sz w:val="20"/>
                <w:szCs w:val="18"/>
              </w:rPr>
              <w:t xml:space="preserve">Sivaprakash </w:t>
            </w:r>
            <w:r w:rsidR="000215F9">
              <w:rPr>
                <w:rFonts w:eastAsia="IBM Plex Sans" w:cs="Arial"/>
                <w:sz w:val="20"/>
                <w:szCs w:val="18"/>
              </w:rPr>
              <w:t>has</w:t>
            </w:r>
            <w:r w:rsidR="006A0B7F" w:rsidRPr="006A0B7F">
              <w:rPr>
                <w:rFonts w:eastAsia="IBM Plex Sans" w:cs="Arial"/>
                <w:sz w:val="20"/>
                <w:szCs w:val="18"/>
              </w:rPr>
              <w:t xml:space="preserve"> worked closely with testing team</w:t>
            </w:r>
            <w:r w:rsidR="000215F9">
              <w:rPr>
                <w:rFonts w:eastAsia="IBM Plex Sans" w:cs="Arial"/>
                <w:sz w:val="20"/>
                <w:szCs w:val="18"/>
              </w:rPr>
              <w:t>s</w:t>
            </w:r>
            <w:r w:rsidR="006A0B7F" w:rsidRPr="006A0B7F">
              <w:rPr>
                <w:rFonts w:eastAsia="IBM Plex Sans" w:cs="Arial"/>
                <w:sz w:val="20"/>
                <w:szCs w:val="18"/>
              </w:rPr>
              <w:t>, offering expert guidance, reviewing test cases and scripts, and enabling smooth parallel, canary, and blue/green deployments during cloud migration — ensuring technical quality while mentoring team members through complex testing phases.</w:t>
            </w:r>
          </w:p>
          <w:p w14:paraId="39925F8F" w14:textId="7C5E06D6" w:rsidR="00DF167D" w:rsidRPr="00DF167D" w:rsidRDefault="006A0B7F" w:rsidP="00DF167D">
            <w:pPr>
              <w:spacing w:before="60"/>
              <w:rPr>
                <w:rFonts w:eastAsia="IBM Plex Sans" w:cs="Arial"/>
                <w:sz w:val="20"/>
                <w:szCs w:val="18"/>
                <w:highlight w:val="yellow"/>
              </w:rPr>
            </w:pPr>
            <w:r w:rsidRPr="006A0B7F">
              <w:rPr>
                <w:rFonts w:eastAsia="IBM Plex Sans" w:cs="Arial"/>
                <w:sz w:val="20"/>
                <w:szCs w:val="18"/>
              </w:rPr>
              <w:t xml:space="preserve">He </w:t>
            </w:r>
            <w:r w:rsidR="000215F9">
              <w:rPr>
                <w:rFonts w:eastAsia="IBM Plex Sans" w:cs="Arial"/>
                <w:sz w:val="20"/>
                <w:szCs w:val="18"/>
              </w:rPr>
              <w:t>has</w:t>
            </w:r>
            <w:r w:rsidRPr="006A0B7F">
              <w:rPr>
                <w:rFonts w:eastAsia="IBM Plex Sans" w:cs="Arial"/>
                <w:sz w:val="20"/>
                <w:szCs w:val="18"/>
              </w:rPr>
              <w:t xml:space="preserve"> led UI/Access/Web Services accessibility assessments for CA-MMIS web applications and performed Identity Management evaluations, documenting authentication flows </w:t>
            </w:r>
            <w:r w:rsidR="000215F9">
              <w:rPr>
                <w:rFonts w:eastAsia="IBM Plex Sans" w:cs="Arial"/>
                <w:sz w:val="20"/>
                <w:szCs w:val="18"/>
              </w:rPr>
              <w:t>and</w:t>
            </w:r>
            <w:r w:rsidRPr="006A0B7F">
              <w:rPr>
                <w:rFonts w:eastAsia="IBM Plex Sans" w:cs="Arial"/>
                <w:sz w:val="20"/>
                <w:szCs w:val="18"/>
              </w:rPr>
              <w:t xml:space="preserve"> ensuring compliance and security best practices were embedded in the technical design.</w:t>
            </w:r>
            <w:r w:rsidR="002225C3">
              <w:rPr>
                <w:rFonts w:eastAsia="IBM Plex Sans" w:cs="Arial"/>
                <w:sz w:val="20"/>
                <w:szCs w:val="18"/>
              </w:rPr>
              <w:t xml:space="preserve"> As part of working with CA-MMIS security, </w:t>
            </w:r>
            <w:r w:rsidRPr="006A0B7F">
              <w:rPr>
                <w:rFonts w:eastAsia="IBM Plex Sans" w:cs="Arial"/>
                <w:sz w:val="20"/>
                <w:szCs w:val="18"/>
              </w:rPr>
              <w:t>Sivaprakash review</w:t>
            </w:r>
            <w:r w:rsidR="002225C3">
              <w:rPr>
                <w:rFonts w:eastAsia="IBM Plex Sans" w:cs="Arial"/>
                <w:sz w:val="20"/>
                <w:szCs w:val="18"/>
              </w:rPr>
              <w:t>ed the</w:t>
            </w:r>
            <w:r w:rsidRPr="006A0B7F">
              <w:rPr>
                <w:rFonts w:eastAsia="IBM Plex Sans" w:cs="Arial"/>
                <w:sz w:val="20"/>
                <w:szCs w:val="18"/>
              </w:rPr>
              <w:t xml:space="preserve"> System Security Plans and Security Risk Assessments during non-mainframe application migrations, reinforcing secure architecture principles in team deliverables.</w:t>
            </w:r>
            <w:r w:rsidR="002225C3">
              <w:rPr>
                <w:rFonts w:eastAsia="IBM Plex Sans" w:cs="Arial"/>
                <w:sz w:val="20"/>
                <w:szCs w:val="18"/>
              </w:rPr>
              <w:t xml:space="preserve"> </w:t>
            </w:r>
            <w:r w:rsidRPr="006A0B7F">
              <w:rPr>
                <w:rFonts w:eastAsia="IBM Plex Sans" w:cs="Arial"/>
                <w:sz w:val="20"/>
                <w:szCs w:val="18"/>
              </w:rPr>
              <w:t xml:space="preserve">Through </w:t>
            </w:r>
            <w:r w:rsidR="002225C3">
              <w:rPr>
                <w:rFonts w:eastAsia="IBM Plex Sans" w:cs="Arial"/>
                <w:sz w:val="20"/>
                <w:szCs w:val="18"/>
              </w:rPr>
              <w:t xml:space="preserve">his leadership and </w:t>
            </w:r>
            <w:r w:rsidRPr="006A0B7F">
              <w:rPr>
                <w:rFonts w:eastAsia="IBM Plex Sans" w:cs="Arial"/>
                <w:sz w:val="20"/>
                <w:szCs w:val="18"/>
              </w:rPr>
              <w:t>oversight</w:t>
            </w:r>
            <w:r w:rsidR="002225C3">
              <w:rPr>
                <w:rFonts w:eastAsia="IBM Plex Sans" w:cs="Arial"/>
                <w:sz w:val="20"/>
                <w:szCs w:val="18"/>
              </w:rPr>
              <w:t xml:space="preserve"> role at CA-MMIS, </w:t>
            </w:r>
            <w:r w:rsidRPr="006A0B7F">
              <w:rPr>
                <w:rFonts w:eastAsia="IBM Plex Sans" w:cs="Arial"/>
                <w:sz w:val="20"/>
                <w:szCs w:val="18"/>
              </w:rPr>
              <w:t xml:space="preserve">Sivaprakash </w:t>
            </w:r>
            <w:r w:rsidR="002225C3">
              <w:rPr>
                <w:rFonts w:eastAsia="IBM Plex Sans" w:cs="Arial"/>
                <w:sz w:val="20"/>
                <w:szCs w:val="18"/>
              </w:rPr>
              <w:t>has validated</w:t>
            </w:r>
            <w:r w:rsidRPr="006A0B7F">
              <w:rPr>
                <w:rFonts w:eastAsia="IBM Plex Sans" w:cs="Arial"/>
                <w:sz w:val="20"/>
                <w:szCs w:val="18"/>
              </w:rPr>
              <w:t xml:space="preserve"> delivered code meets DHCS standards, conduct</w:t>
            </w:r>
            <w:r w:rsidR="002225C3">
              <w:rPr>
                <w:rFonts w:eastAsia="IBM Plex Sans" w:cs="Arial"/>
                <w:sz w:val="20"/>
                <w:szCs w:val="18"/>
              </w:rPr>
              <w:t>ed</w:t>
            </w:r>
            <w:r w:rsidRPr="006A0B7F">
              <w:rPr>
                <w:rFonts w:eastAsia="IBM Plex Sans" w:cs="Arial"/>
                <w:sz w:val="20"/>
                <w:szCs w:val="18"/>
              </w:rPr>
              <w:t xml:space="preserve"> periodic evaluations to maintain compliance and provid</w:t>
            </w:r>
            <w:r w:rsidR="002225C3">
              <w:rPr>
                <w:rFonts w:eastAsia="IBM Plex Sans" w:cs="Arial"/>
                <w:sz w:val="20"/>
                <w:szCs w:val="18"/>
              </w:rPr>
              <w:t>ed</w:t>
            </w:r>
            <w:r w:rsidRPr="006A0B7F">
              <w:rPr>
                <w:rFonts w:eastAsia="IBM Plex Sans" w:cs="Arial"/>
                <w:sz w:val="20"/>
                <w:szCs w:val="18"/>
              </w:rPr>
              <w:t xml:space="preserve"> the team with technical guidance to uphold system integrity across CA-MMIS.</w:t>
            </w:r>
          </w:p>
        </w:tc>
      </w:tr>
      <w:tr w:rsidR="00DF167D" w:rsidRPr="00DF167D" w14:paraId="1CC1EAD7" w14:textId="77777777" w:rsidTr="008565AB">
        <w:tc>
          <w:tcPr>
            <w:tcW w:w="3055" w:type="dxa"/>
          </w:tcPr>
          <w:p w14:paraId="30F6878A" w14:textId="77777777" w:rsidR="00DF167D" w:rsidRPr="00DF167D" w:rsidRDefault="00DF167D" w:rsidP="00DF167D">
            <w:pPr>
              <w:spacing w:before="60"/>
              <w:rPr>
                <w:rFonts w:eastAsia="IBM Plex Sans" w:cs="Arial"/>
                <w:sz w:val="20"/>
                <w:szCs w:val="18"/>
              </w:rPr>
            </w:pPr>
            <w:r w:rsidRPr="00DF167D">
              <w:rPr>
                <w:rFonts w:eastAsia="IBM Plex Sans" w:cs="Arial"/>
                <w:sz w:val="20"/>
                <w:szCs w:val="18"/>
              </w:rPr>
              <w:t>Project Management Office (PMO) Integration Roles</w:t>
            </w:r>
          </w:p>
        </w:tc>
        <w:tc>
          <w:tcPr>
            <w:tcW w:w="6295" w:type="dxa"/>
          </w:tcPr>
          <w:p w14:paraId="7CBA93B8" w14:textId="4D0877CC" w:rsidR="00DF167D" w:rsidRPr="008C5205" w:rsidRDefault="00354DE8" w:rsidP="00DF167D">
            <w:pPr>
              <w:spacing w:before="60"/>
              <w:rPr>
                <w:rFonts w:eastAsia="IBM Plex Sans" w:cs="Arial"/>
                <w:sz w:val="20"/>
                <w:szCs w:val="18"/>
              </w:rPr>
            </w:pPr>
            <w:r w:rsidRPr="008C5205">
              <w:rPr>
                <w:rFonts w:eastAsia="IBM Plex Sans" w:cs="Arial"/>
                <w:sz w:val="20"/>
                <w:szCs w:val="18"/>
              </w:rPr>
              <w:t xml:space="preserve">IBM has </w:t>
            </w:r>
            <w:r w:rsidR="00BE4EB5" w:rsidRPr="008C5205">
              <w:rPr>
                <w:rFonts w:eastAsia="IBM Plex Sans" w:cs="Arial"/>
                <w:sz w:val="20"/>
                <w:szCs w:val="18"/>
              </w:rPr>
              <w:t xml:space="preserve">personnel </w:t>
            </w:r>
            <w:r w:rsidR="002225C3" w:rsidRPr="008C5205">
              <w:rPr>
                <w:rFonts w:eastAsia="IBM Plex Sans" w:cs="Arial"/>
                <w:sz w:val="20"/>
                <w:szCs w:val="18"/>
              </w:rPr>
              <w:t xml:space="preserve">skilled and </w:t>
            </w:r>
            <w:r w:rsidR="00BE4EB5" w:rsidRPr="008C5205">
              <w:rPr>
                <w:rFonts w:eastAsia="IBM Plex Sans" w:cs="Arial"/>
                <w:sz w:val="20"/>
                <w:szCs w:val="18"/>
              </w:rPr>
              <w:t xml:space="preserve">experienced in project management frameworks, methodologies and approach, and background and skills similar in size and scope to CalSAWS. </w:t>
            </w:r>
            <w:r w:rsidR="00CD0D07" w:rsidRPr="008C5205">
              <w:rPr>
                <w:rFonts w:eastAsia="IBM Plex Sans" w:cs="Arial"/>
                <w:sz w:val="20"/>
                <w:szCs w:val="18"/>
              </w:rPr>
              <w:t>These personnel support the overall project management structure for IBM and CalSAWS</w:t>
            </w:r>
            <w:r w:rsidR="00222653" w:rsidRPr="008C5205">
              <w:rPr>
                <w:rFonts w:eastAsia="IBM Plex Sans" w:cs="Arial"/>
                <w:sz w:val="20"/>
                <w:szCs w:val="18"/>
              </w:rPr>
              <w:t xml:space="preserve">, </w:t>
            </w:r>
            <w:r w:rsidR="00E74D4E" w:rsidRPr="008C5205">
              <w:rPr>
                <w:rFonts w:eastAsia="IBM Plex Sans" w:cs="Arial"/>
                <w:sz w:val="20"/>
                <w:szCs w:val="18"/>
              </w:rPr>
              <w:t>have experience in PMO</w:t>
            </w:r>
            <w:r w:rsidR="00222653" w:rsidRPr="008C5205">
              <w:rPr>
                <w:rFonts w:eastAsia="IBM Plex Sans" w:cs="Arial"/>
                <w:sz w:val="20"/>
                <w:szCs w:val="18"/>
              </w:rPr>
              <w:t>-type environments, and can “hit the ground running on day 1.”</w:t>
            </w:r>
          </w:p>
        </w:tc>
      </w:tr>
      <w:tr w:rsidR="00DF167D" w:rsidRPr="00DF167D" w14:paraId="7BB0E4AB" w14:textId="77777777" w:rsidTr="008565AB">
        <w:tc>
          <w:tcPr>
            <w:tcW w:w="3055" w:type="dxa"/>
          </w:tcPr>
          <w:p w14:paraId="565AEA49" w14:textId="77777777" w:rsidR="00DF167D" w:rsidRPr="00DF167D" w:rsidRDefault="00DF167D" w:rsidP="00DF167D">
            <w:pPr>
              <w:spacing w:before="60"/>
              <w:rPr>
                <w:rFonts w:eastAsia="IBM Plex Sans" w:cs="Arial"/>
                <w:sz w:val="20"/>
                <w:szCs w:val="18"/>
              </w:rPr>
            </w:pPr>
            <w:r w:rsidRPr="00DF167D">
              <w:rPr>
                <w:rFonts w:eastAsia="IBM Plex Sans" w:cs="Arial"/>
                <w:sz w:val="20"/>
                <w:szCs w:val="18"/>
              </w:rPr>
              <w:t>Functional Subject Matter Experts (SMEs)</w:t>
            </w:r>
          </w:p>
        </w:tc>
        <w:tc>
          <w:tcPr>
            <w:tcW w:w="6295" w:type="dxa"/>
          </w:tcPr>
          <w:p w14:paraId="78DAC47D" w14:textId="652A22E4" w:rsidR="00DF167D" w:rsidRPr="008C5205" w:rsidRDefault="002225C3" w:rsidP="00DF167D">
            <w:pPr>
              <w:spacing w:before="60"/>
              <w:rPr>
                <w:rFonts w:eastAsia="IBM Plex Sans" w:cs="Arial"/>
                <w:sz w:val="20"/>
                <w:szCs w:val="18"/>
              </w:rPr>
            </w:pPr>
            <w:r w:rsidRPr="008C5205">
              <w:rPr>
                <w:rFonts w:eastAsia="IBM Plex Sans" w:cs="Arial"/>
                <w:sz w:val="20"/>
                <w:szCs w:val="18"/>
              </w:rPr>
              <w:t xml:space="preserve">IBM </w:t>
            </w:r>
            <w:r w:rsidR="00A865BE" w:rsidRPr="008C5205">
              <w:rPr>
                <w:rFonts w:eastAsia="IBM Plex Sans" w:cs="Arial"/>
                <w:sz w:val="20"/>
                <w:szCs w:val="18"/>
              </w:rPr>
              <w:t>provides</w:t>
            </w:r>
            <w:r w:rsidRPr="008C5205">
              <w:rPr>
                <w:rFonts w:eastAsia="IBM Plex Sans" w:cs="Arial"/>
                <w:sz w:val="20"/>
                <w:szCs w:val="18"/>
              </w:rPr>
              <w:t xml:space="preserve"> a mix of IBM and contracted resources, knowledgeable of the CalSAWS environment and Consortium organizational structure, </w:t>
            </w:r>
            <w:r w:rsidR="000664ED" w:rsidRPr="008C5205">
              <w:rPr>
                <w:rFonts w:eastAsia="IBM Plex Sans" w:cs="Arial"/>
                <w:sz w:val="20"/>
                <w:szCs w:val="18"/>
              </w:rPr>
              <w:t xml:space="preserve">skilled with QA and testing methodologies and approaches, </w:t>
            </w:r>
            <w:r w:rsidR="00A865BE" w:rsidRPr="008C5205">
              <w:rPr>
                <w:rFonts w:eastAsia="IBM Plex Sans" w:cs="Arial"/>
                <w:sz w:val="20"/>
                <w:szCs w:val="18"/>
              </w:rPr>
              <w:t xml:space="preserve">and knowledge and support </w:t>
            </w:r>
            <w:r w:rsidR="00A865BE" w:rsidRPr="008C5205">
              <w:rPr>
                <w:rFonts w:eastAsia="IBM Plex Sans" w:cs="Arial"/>
                <w:sz w:val="20"/>
                <w:szCs w:val="18"/>
              </w:rPr>
              <w:lastRenderedPageBreak/>
              <w:t xml:space="preserve">of the application of AI and automated tools proposed for CalSAWS. </w:t>
            </w:r>
          </w:p>
        </w:tc>
      </w:tr>
      <w:tr w:rsidR="00DF167D" w:rsidRPr="00DF167D" w14:paraId="62FF1DD2" w14:textId="77777777" w:rsidTr="008565AB">
        <w:tc>
          <w:tcPr>
            <w:tcW w:w="3055" w:type="dxa"/>
          </w:tcPr>
          <w:p w14:paraId="4C417EAA" w14:textId="77777777" w:rsidR="00DF167D" w:rsidRPr="00DF167D" w:rsidRDefault="00DF167D" w:rsidP="00DF167D">
            <w:pPr>
              <w:spacing w:before="60"/>
              <w:rPr>
                <w:rFonts w:eastAsia="IBM Plex Sans" w:cs="Arial"/>
                <w:sz w:val="20"/>
                <w:szCs w:val="18"/>
              </w:rPr>
            </w:pPr>
            <w:r w:rsidRPr="00DF167D">
              <w:rPr>
                <w:rFonts w:eastAsia="IBM Plex Sans" w:cs="Arial"/>
                <w:sz w:val="20"/>
                <w:szCs w:val="18"/>
              </w:rPr>
              <w:lastRenderedPageBreak/>
              <w:t>Technical Advisors</w:t>
            </w:r>
          </w:p>
        </w:tc>
        <w:tc>
          <w:tcPr>
            <w:tcW w:w="6295" w:type="dxa"/>
          </w:tcPr>
          <w:p w14:paraId="07A5140E" w14:textId="39BB5C81" w:rsidR="00DF167D" w:rsidRPr="008C5205" w:rsidRDefault="001D0B47" w:rsidP="00DF167D">
            <w:pPr>
              <w:spacing w:before="60"/>
              <w:rPr>
                <w:rFonts w:eastAsia="IBM Plex Sans" w:cs="Arial"/>
                <w:sz w:val="20"/>
                <w:szCs w:val="18"/>
              </w:rPr>
            </w:pPr>
            <w:r w:rsidRPr="008C5205">
              <w:rPr>
                <w:rFonts w:eastAsia="IBM Plex Sans" w:cs="Arial"/>
                <w:sz w:val="20"/>
                <w:szCs w:val="18"/>
              </w:rPr>
              <w:t>IBM</w:t>
            </w:r>
            <w:r w:rsidR="00293D06" w:rsidRPr="008C5205">
              <w:rPr>
                <w:rFonts w:eastAsia="IBM Plex Sans" w:cs="Arial"/>
                <w:sz w:val="20"/>
                <w:szCs w:val="18"/>
              </w:rPr>
              <w:t xml:space="preserve"> provid</w:t>
            </w:r>
            <w:r w:rsidR="009018F3" w:rsidRPr="008C5205">
              <w:rPr>
                <w:rFonts w:eastAsia="IBM Plex Sans" w:cs="Arial"/>
                <w:sz w:val="20"/>
                <w:szCs w:val="18"/>
              </w:rPr>
              <w:t>es</w:t>
            </w:r>
            <w:r w:rsidR="00293D06" w:rsidRPr="008C5205">
              <w:rPr>
                <w:rFonts w:eastAsia="IBM Plex Sans" w:cs="Arial"/>
                <w:sz w:val="20"/>
                <w:szCs w:val="18"/>
              </w:rPr>
              <w:t xml:space="preserve"> technical advisors experienced in working in a multi-vendor environment</w:t>
            </w:r>
            <w:r w:rsidR="00850D6B" w:rsidRPr="008C5205">
              <w:rPr>
                <w:rFonts w:eastAsia="IBM Plex Sans" w:cs="Arial"/>
                <w:sz w:val="20"/>
                <w:szCs w:val="18"/>
              </w:rPr>
              <w:t xml:space="preserve">. </w:t>
            </w:r>
            <w:r w:rsidR="00293D06" w:rsidRPr="008C5205">
              <w:rPr>
                <w:rFonts w:eastAsia="IBM Plex Sans" w:cs="Arial"/>
                <w:sz w:val="20"/>
                <w:szCs w:val="18"/>
              </w:rPr>
              <w:t xml:space="preserve"> </w:t>
            </w:r>
            <w:r w:rsidR="00D06725" w:rsidRPr="008C5205">
              <w:rPr>
                <w:rFonts w:eastAsia="IBM Plex Sans" w:cs="Arial"/>
                <w:sz w:val="20"/>
                <w:szCs w:val="18"/>
              </w:rPr>
              <w:t xml:space="preserve">The advisors plan to advise IBM and other </w:t>
            </w:r>
            <w:r w:rsidR="007A3013" w:rsidRPr="008C5205">
              <w:rPr>
                <w:rFonts w:eastAsia="IBM Plex Sans" w:cs="Arial"/>
                <w:sz w:val="20"/>
                <w:szCs w:val="18"/>
              </w:rPr>
              <w:t>personnel on technical items, whether AI and automated tools, best practices in testing</w:t>
            </w:r>
            <w:r w:rsidR="004471E4" w:rsidRPr="008C5205">
              <w:rPr>
                <w:rFonts w:eastAsia="IBM Plex Sans" w:cs="Arial"/>
                <w:sz w:val="20"/>
                <w:szCs w:val="18"/>
              </w:rPr>
              <w:t xml:space="preserve"> and </w:t>
            </w:r>
            <w:r w:rsidR="007A3013" w:rsidRPr="008C5205">
              <w:rPr>
                <w:rFonts w:eastAsia="IBM Plex Sans" w:cs="Arial"/>
                <w:sz w:val="20"/>
                <w:szCs w:val="18"/>
              </w:rPr>
              <w:t>security</w:t>
            </w:r>
            <w:r w:rsidR="004471E4" w:rsidRPr="008C5205">
              <w:rPr>
                <w:rFonts w:eastAsia="IBM Plex Sans" w:cs="Arial"/>
                <w:sz w:val="20"/>
                <w:szCs w:val="18"/>
              </w:rPr>
              <w:t xml:space="preserve">. The technical advisors assist the IBM team with resolving issues and helping to mitigate risks. </w:t>
            </w:r>
          </w:p>
        </w:tc>
      </w:tr>
    </w:tbl>
    <w:p w14:paraId="26238261" w14:textId="7D055F82" w:rsidR="00AA4A1C" w:rsidRPr="00143F35" w:rsidRDefault="00143F35" w:rsidP="00F2577D">
      <w:pPr>
        <w:pStyle w:val="CS-IBMResponseText"/>
        <w:rPr>
          <w:rFonts w:eastAsiaTheme="minorEastAsia"/>
        </w:rPr>
      </w:pPr>
      <w:r>
        <w:rPr>
          <w:rFonts w:eastAsia="IBM Plex Sans"/>
          <w:noProof/>
        </w:rPr>
        <mc:AlternateContent>
          <mc:Choice Requires="wps">
            <w:drawing>
              <wp:anchor distT="0" distB="0" distL="114300" distR="114300" simplePos="0" relativeHeight="251658251" behindDoc="0" locked="0" layoutInCell="1" allowOverlap="1" wp14:anchorId="64547F61" wp14:editId="53810995">
                <wp:simplePos x="0" y="0"/>
                <wp:positionH relativeFrom="column">
                  <wp:posOffset>0</wp:posOffset>
                </wp:positionH>
                <wp:positionV relativeFrom="paragraph">
                  <wp:posOffset>138063</wp:posOffset>
                </wp:positionV>
                <wp:extent cx="5935345" cy="1573530"/>
                <wp:effectExtent l="12700" t="12700" r="8255" b="13970"/>
                <wp:wrapTopAndBottom/>
                <wp:docPr id="1246869145" name="Text Box 29"/>
                <wp:cNvGraphicFramePr/>
                <a:graphic xmlns:a="http://schemas.openxmlformats.org/drawingml/2006/main">
                  <a:graphicData uri="http://schemas.microsoft.com/office/word/2010/wordprocessingShape">
                    <wps:wsp>
                      <wps:cNvSpPr txBox="1"/>
                      <wps:spPr>
                        <a:xfrm>
                          <a:off x="0" y="0"/>
                          <a:ext cx="5935345" cy="1573530"/>
                        </a:xfrm>
                        <a:prstGeom prst="rect">
                          <a:avLst/>
                        </a:prstGeom>
                        <a:solidFill>
                          <a:schemeClr val="bg1"/>
                        </a:solidFill>
                        <a:ln w="28575">
                          <a:solidFill>
                            <a:srgbClr val="006699"/>
                          </a:solidFill>
                        </a:ln>
                      </wps:spPr>
                      <wps:txbx>
                        <w:txbxContent>
                          <w:p w14:paraId="61FB5368" w14:textId="77777777" w:rsidR="00143F35" w:rsidRPr="00AA4A1C" w:rsidRDefault="00143F35" w:rsidP="00143F35">
                            <w:pPr>
                              <w:pStyle w:val="CS-IBMResponseText"/>
                              <w:rPr>
                                <w:color w:val="0070C0"/>
                                <w:sz w:val="28"/>
                                <w:szCs w:val="28"/>
                              </w:rPr>
                            </w:pPr>
                            <w:bookmarkStart w:id="19" w:name="_Toc211641144"/>
                            <w:r w:rsidRPr="00AA4A1C">
                              <w:rPr>
                                <w:color w:val="0070C0"/>
                                <w:sz w:val="28"/>
                                <w:szCs w:val="28"/>
                              </w:rPr>
                              <w:t>Tools &amp; Proof</w:t>
                            </w:r>
                            <w:bookmarkEnd w:id="19"/>
                          </w:p>
                          <w:p w14:paraId="01BBB652" w14:textId="77777777" w:rsidR="00143F35" w:rsidRPr="00DA0139" w:rsidRDefault="00143F35" w:rsidP="00143F35">
                            <w:pPr>
                              <w:pStyle w:val="CS-IBMResponseText"/>
                            </w:pPr>
                            <w:r w:rsidRPr="00DA0139">
                              <w:t>To support these initiatives, IBM employs AI-driven testing tools, including self-healing regression automation and synthetic data generation, which accelerate readiness without necessitating a direct increase in personnel. The use of combinatorial test design further reduces planning time by optimizing test coverage while minimizing redundant efforts.</w:t>
                            </w:r>
                          </w:p>
                          <w:p w14:paraId="34BD39DB" w14:textId="77777777" w:rsidR="00143F35" w:rsidRPr="00CB6778" w:rsidRDefault="00143F35" w:rsidP="00143F35">
                            <w:pPr>
                              <w:jc w:val="center"/>
                            </w:pPr>
                          </w:p>
                        </w:txbxContent>
                      </wps:txbx>
                      <wps:bodyPr rot="0" spcFirstLastPara="0" vertOverflow="overflow" horzOverflow="overflow" vert="horz" wrap="square" lIns="182880" tIns="91440" rIns="18288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547F61" id="_x0000_s1028" type="#_x0000_t202" style="position:absolute;margin-left:0;margin-top:10.85pt;width:467.35pt;height:123.9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" fillcolor="white [3212]" strokecolor="#069" strokeweight="2.25pt">
                <v:textbox inset="14.4pt,7.2pt,14.4pt,7.2pt">
                  <w:txbxContent>
                    <w:p w14:paraId="61FB5368" w14:textId="77777777" w:rsidR="00143F35" w:rsidRPr="00AA4A1C" w:rsidRDefault="00143F35" w:rsidP="00143F35">
                      <w:pPr>
                        <w:pStyle w:val="CS-IBMResponseText"/>
                        <w:rPr>
                          <w:color w:val="0070C0"/>
                          <w:sz w:val="28"/>
                          <w:szCs w:val="28"/>
                        </w:rPr>
                      </w:pPr>
                      <w:bookmarkStart w:id="20" w:name="_Toc211641144"/>
                      <w:r w:rsidRPr="00AA4A1C">
                        <w:rPr>
                          <w:color w:val="0070C0"/>
                          <w:sz w:val="28"/>
                          <w:szCs w:val="28"/>
                        </w:rPr>
                        <w:t>Tools &amp; Proof</w:t>
                      </w:r>
                      <w:bookmarkEnd w:id="20"/>
                    </w:p>
                    <w:p w14:paraId="01BBB652" w14:textId="77777777" w:rsidR="00143F35" w:rsidRPr="00DA0139" w:rsidRDefault="00143F35" w:rsidP="00143F35">
                      <w:pPr>
                        <w:pStyle w:val="CS-IBMResponseText"/>
                      </w:pPr>
                      <w:r w:rsidRPr="00DA0139">
                        <w:t>To support these initiatives, IBM employs AI-driven testing tools, including self-healing regression automation and synthetic data generation, which accelerate readiness without necessitating a direct increase in personnel. The use of combinatorial test design further reduces planning time by optimizing test coverage while minimizing redundant efforts.</w:t>
                      </w:r>
                    </w:p>
                    <w:p w14:paraId="34BD39DB" w14:textId="77777777" w:rsidR="00143F35" w:rsidRPr="00CB6778" w:rsidRDefault="00143F35" w:rsidP="00143F35">
                      <w:pPr>
                        <w:jc w:val="center"/>
                      </w:pPr>
                    </w:p>
                  </w:txbxContent>
                </v:textbox>
                <w10:wrap type="topAndBottom"/>
              </v:shape>
            </w:pict>
          </mc:Fallback>
        </mc:AlternateContent>
      </w:r>
    </w:p>
    <w:p w14:paraId="2EC8A400" w14:textId="4B345604" w:rsidR="00491270" w:rsidRPr="00AA4A1C" w:rsidRDefault="00491270" w:rsidP="00F2577D">
      <w:pPr>
        <w:pStyle w:val="CS-IBMResponseText"/>
        <w:rPr>
          <w:color w:val="0070C0"/>
          <w:sz w:val="28"/>
          <w:szCs w:val="28"/>
        </w:rPr>
      </w:pPr>
      <w:r w:rsidRPr="00AA4A1C">
        <w:rPr>
          <w:color w:val="0070C0"/>
          <w:sz w:val="28"/>
          <w:szCs w:val="28"/>
        </w:rPr>
        <w:t>Examples</w:t>
      </w:r>
    </w:p>
    <w:p w14:paraId="54E4BBA8" w14:textId="0F9E684F" w:rsidR="00AA4A1C" w:rsidRDefault="00491270" w:rsidP="00576D12">
      <w:pPr>
        <w:pStyle w:val="CS-IBMResponseText"/>
        <w:rPr>
          <w:rFonts w:eastAsia="IBM Plex Sans"/>
        </w:rPr>
      </w:pPr>
      <w:r w:rsidRPr="00DA0139">
        <w:rPr>
          <w:rFonts w:eastAsia="IBM Plex Sans"/>
        </w:rPr>
        <w:t>IBM has repeatedly supported state Health and Human Services agencies through periods of rapid change due to legislative mandates, policy reforms, or system modernization. These efforts often required rapid increases in QA staffing, cross-vendor coordination, and the ability to maintain quality despite aggressive timelines. The following examples illustrate IBM’s proven capability to scale up quickly, maintain performance, and deliver measurable outcomes—all in environments similar in size and complexity to CalSAWS.</w:t>
      </w:r>
    </w:p>
    <w:p w14:paraId="127B6F34" w14:textId="4690204E" w:rsidR="00240AB3" w:rsidRPr="00714EC9" w:rsidRDefault="007626D0" w:rsidP="00240AB3">
      <w:pPr>
        <w:pStyle w:val="CS-IBMResponseText"/>
        <w:spacing w:before="0" w:after="0"/>
        <w:rPr>
          <w:b/>
          <w:bCs/>
        </w:rPr>
      </w:pPr>
      <w:r>
        <w:rPr>
          <w:b/>
          <w:bCs/>
        </w:rPr>
        <w:t xml:space="preserve">     </w:t>
      </w:r>
      <w:r w:rsidR="00240AB3" w:rsidRPr="00E24597">
        <w:rPr>
          <w:b/>
          <w:bCs/>
        </w:rPr>
        <w:t>Arizona Department of Economic Security (DES):</w:t>
      </w:r>
      <w:r w:rsidR="00240AB3" w:rsidRPr="00714EC9">
        <w:rPr>
          <w:b/>
          <w:bCs/>
        </w:rPr>
        <w:t xml:space="preserve"> </w:t>
      </w:r>
    </w:p>
    <w:p w14:paraId="6B08B1ED" w14:textId="77777777" w:rsidR="00521C90" w:rsidRPr="00521C90" w:rsidRDefault="00521C90" w:rsidP="00240AB3">
      <w:pPr>
        <w:pStyle w:val="NormalWeb"/>
        <w:spacing w:before="0" w:after="0"/>
        <w:ind w:left="72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Context and Challenge:</w:t>
      </w:r>
      <w:r w:rsidRPr="00521C90">
        <w:rPr>
          <w:rFonts w:ascii="Century Gothic" w:eastAsia="IBM Plex Sans" w:hAnsi="Century Gothic" w:cs="Arial"/>
          <w:color w:val="0D0D0D" w:themeColor="text1" w:themeTint="F2"/>
          <w:sz w:val="22"/>
          <w:szCs w:val="21"/>
        </w:rPr>
        <w:br/>
        <w:t>The Arizona Department of Economic Security (DES) administers critical human services programs such as SNAP, TANF, Medicaid, childcare, and workforce development. In response to Affordable Care Act (ACA)–driven policy changes, DES embarked on a major modernization initiative to move from legacy, siloed systems to a unified, cloud-based platform.</w:t>
      </w:r>
    </w:p>
    <w:p w14:paraId="479EBD72" w14:textId="77777777" w:rsidR="00521C90" w:rsidRDefault="00521C90" w:rsidP="00240AB3">
      <w:pPr>
        <w:pStyle w:val="NormalWeb"/>
        <w:spacing w:before="0" w:after="0"/>
        <w:ind w:left="720"/>
        <w:rPr>
          <w:rFonts w:ascii="Century Gothic" w:eastAsia="IBM Plex Sans" w:hAnsi="Century Gothic" w:cs="Arial"/>
          <w:color w:val="0D0D0D" w:themeColor="text1" w:themeTint="F2"/>
          <w:sz w:val="22"/>
          <w:szCs w:val="21"/>
        </w:rPr>
      </w:pPr>
      <w:r w:rsidRPr="00521C90">
        <w:rPr>
          <w:rFonts w:ascii="Century Gothic" w:eastAsia="IBM Plex Sans" w:hAnsi="Century Gothic" w:cs="Arial"/>
          <w:color w:val="0D0D0D" w:themeColor="text1" w:themeTint="F2"/>
          <w:sz w:val="22"/>
          <w:szCs w:val="21"/>
        </w:rPr>
        <w:t xml:space="preserve">The </w:t>
      </w:r>
      <w:r w:rsidRPr="00521C90">
        <w:rPr>
          <w:rFonts w:ascii="Century Gothic" w:eastAsia="IBM Plex Sans" w:hAnsi="Century Gothic" w:cs="Arial"/>
          <w:b/>
          <w:bCs/>
          <w:color w:val="0D0D0D" w:themeColor="text1" w:themeTint="F2"/>
          <w:sz w:val="22"/>
          <w:szCs w:val="21"/>
        </w:rPr>
        <w:t>legacy environment</w:t>
      </w:r>
      <w:r w:rsidRPr="00521C90">
        <w:rPr>
          <w:rFonts w:ascii="Century Gothic" w:eastAsia="IBM Plex Sans" w:hAnsi="Century Gothic" w:cs="Arial"/>
          <w:color w:val="0D0D0D" w:themeColor="text1" w:themeTint="F2"/>
          <w:sz w:val="22"/>
          <w:szCs w:val="21"/>
        </w:rPr>
        <w:t xml:space="preserve"> was composed of </w:t>
      </w:r>
      <w:r w:rsidRPr="00521C90">
        <w:rPr>
          <w:rFonts w:ascii="Century Gothic" w:eastAsia="IBM Plex Sans" w:hAnsi="Century Gothic" w:cs="Arial"/>
          <w:b/>
          <w:bCs/>
          <w:color w:val="0D0D0D" w:themeColor="text1" w:themeTint="F2"/>
          <w:sz w:val="22"/>
          <w:szCs w:val="21"/>
        </w:rPr>
        <w:t>on-premises SQL Server databases, mainframe-based eligibility logic, and standalone .NET web applications</w:t>
      </w:r>
      <w:r w:rsidRPr="00521C90">
        <w:rPr>
          <w:rFonts w:ascii="Century Gothic" w:eastAsia="IBM Plex Sans" w:hAnsi="Century Gothic" w:cs="Arial"/>
          <w:color w:val="0D0D0D" w:themeColor="text1" w:themeTint="F2"/>
          <w:sz w:val="22"/>
          <w:szCs w:val="21"/>
        </w:rPr>
        <w:t xml:space="preserve">, which limited scalability, slowed updates, and made regression testing highly manual. The </w:t>
      </w:r>
      <w:r w:rsidRPr="00521C90">
        <w:rPr>
          <w:rFonts w:ascii="Century Gothic" w:eastAsia="IBM Plex Sans" w:hAnsi="Century Gothic" w:cs="Arial"/>
          <w:b/>
          <w:bCs/>
          <w:color w:val="0D0D0D" w:themeColor="text1" w:themeTint="F2"/>
          <w:sz w:val="22"/>
          <w:szCs w:val="21"/>
        </w:rPr>
        <w:t>modernization program introduced Microsoft Dynamics 365 for case management, Azure cloud infrastructure, Power BI analytics, and a service-oriented integration layer</w:t>
      </w:r>
      <w:r w:rsidRPr="00521C90">
        <w:rPr>
          <w:rFonts w:ascii="Century Gothic" w:eastAsia="IBM Plex Sans" w:hAnsi="Century Gothic" w:cs="Arial"/>
          <w:color w:val="0D0D0D" w:themeColor="text1" w:themeTint="F2"/>
          <w:sz w:val="22"/>
          <w:szCs w:val="21"/>
        </w:rPr>
        <w:t>. These shifts required a testing approach that could manage hybrid integrations, evolving data models, and continuous deployments across multiple vendors.</w:t>
      </w:r>
    </w:p>
    <w:p w14:paraId="12EDE2CF" w14:textId="77777777" w:rsidR="00A75D93" w:rsidRPr="00521C90" w:rsidRDefault="00A75D93" w:rsidP="00240AB3">
      <w:pPr>
        <w:pStyle w:val="NormalWeb"/>
        <w:spacing w:before="0" w:after="0"/>
        <w:ind w:left="720"/>
        <w:rPr>
          <w:rFonts w:ascii="Century Gothic" w:eastAsia="IBM Plex Sans" w:hAnsi="Century Gothic" w:cs="Arial"/>
          <w:color w:val="0D0D0D" w:themeColor="text1" w:themeTint="F2"/>
          <w:sz w:val="22"/>
          <w:szCs w:val="21"/>
        </w:rPr>
      </w:pPr>
    </w:p>
    <w:p w14:paraId="2FD68B11" w14:textId="13D14083" w:rsidR="00521C90" w:rsidRPr="00521C90" w:rsidRDefault="00521C90" w:rsidP="00240AB3">
      <w:pPr>
        <w:pStyle w:val="NormalWeb"/>
        <w:spacing w:before="0" w:after="0"/>
        <w:ind w:left="72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IBM’s Role and Approach:</w:t>
      </w:r>
      <w:r w:rsidRPr="00521C90">
        <w:rPr>
          <w:rFonts w:ascii="Century Gothic" w:eastAsia="IBM Plex Sans" w:hAnsi="Century Gothic" w:cs="Arial"/>
          <w:color w:val="0D0D0D" w:themeColor="text1" w:themeTint="F2"/>
          <w:sz w:val="22"/>
          <w:szCs w:val="21"/>
        </w:rPr>
        <w:br/>
        <w:t xml:space="preserve">IBM was engaged as the </w:t>
      </w:r>
      <w:r w:rsidR="00A75D93">
        <w:rPr>
          <w:rFonts w:ascii="Century Gothic" w:eastAsia="IBM Plex Sans" w:hAnsi="Century Gothic" w:cs="Arial"/>
          <w:color w:val="0D0D0D" w:themeColor="text1" w:themeTint="F2"/>
          <w:sz w:val="22"/>
          <w:szCs w:val="21"/>
        </w:rPr>
        <w:t>S</w:t>
      </w:r>
      <w:r w:rsidR="00B17FBC">
        <w:rPr>
          <w:rFonts w:ascii="Century Gothic" w:eastAsia="IBM Plex Sans" w:hAnsi="Century Gothic" w:cs="Arial"/>
          <w:color w:val="0D0D0D" w:themeColor="text1" w:themeTint="F2"/>
          <w:sz w:val="22"/>
          <w:szCs w:val="21"/>
        </w:rPr>
        <w:t xml:space="preserve">ystem Integrator </w:t>
      </w:r>
      <w:r w:rsidR="00A75D93">
        <w:rPr>
          <w:rFonts w:ascii="Century Gothic" w:eastAsia="IBM Plex Sans" w:hAnsi="Century Gothic" w:cs="Arial"/>
          <w:color w:val="0D0D0D" w:themeColor="text1" w:themeTint="F2"/>
          <w:sz w:val="22"/>
          <w:szCs w:val="21"/>
        </w:rPr>
        <w:t xml:space="preserve">&amp; </w:t>
      </w:r>
      <w:r w:rsidRPr="00521C90">
        <w:rPr>
          <w:rFonts w:ascii="Century Gothic" w:eastAsia="IBM Plex Sans" w:hAnsi="Century Gothic" w:cs="Arial"/>
          <w:color w:val="0D0D0D" w:themeColor="text1" w:themeTint="F2"/>
          <w:sz w:val="22"/>
          <w:szCs w:val="21"/>
        </w:rPr>
        <w:t>QA partner to stabilize quality and accelerate release readiness during this high-velocity modernization effort.</w:t>
      </w:r>
    </w:p>
    <w:p w14:paraId="54A1DE0C" w14:textId="77777777" w:rsidR="00521C90" w:rsidRPr="00521C90" w:rsidRDefault="00521C90" w:rsidP="00240AB3">
      <w:pPr>
        <w:pStyle w:val="NormalWeb"/>
        <w:spacing w:before="0" w:after="0"/>
        <w:ind w:left="720"/>
        <w:rPr>
          <w:rFonts w:ascii="Century Gothic" w:eastAsia="IBM Plex Sans" w:hAnsi="Century Gothic" w:cs="Arial"/>
          <w:color w:val="0D0D0D" w:themeColor="text1" w:themeTint="F2"/>
          <w:sz w:val="22"/>
          <w:szCs w:val="21"/>
        </w:rPr>
      </w:pPr>
      <w:r w:rsidRPr="00521C90">
        <w:rPr>
          <w:rFonts w:ascii="Century Gothic" w:eastAsia="IBM Plex Sans" w:hAnsi="Century Gothic" w:cs="Arial"/>
          <w:color w:val="0D0D0D" w:themeColor="text1" w:themeTint="F2"/>
          <w:sz w:val="22"/>
          <w:szCs w:val="21"/>
        </w:rPr>
        <w:lastRenderedPageBreak/>
        <w:t>Key actions included:</w:t>
      </w:r>
    </w:p>
    <w:p w14:paraId="60D04827" w14:textId="77777777" w:rsidR="00521C90" w:rsidRPr="00521C90" w:rsidRDefault="00521C90" w:rsidP="00CF7600">
      <w:pPr>
        <w:pStyle w:val="NormalWeb"/>
        <w:numPr>
          <w:ilvl w:val="0"/>
          <w:numId w:val="43"/>
        </w:numPr>
        <w:tabs>
          <w:tab w:val="clear" w:pos="720"/>
          <w:tab w:val="num" w:pos="1440"/>
        </w:tabs>
        <w:spacing w:before="0" w:after="0"/>
        <w:ind w:left="144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Rapid QA Scale-Up:</w:t>
      </w:r>
      <w:r w:rsidRPr="00521C90">
        <w:rPr>
          <w:rFonts w:ascii="Century Gothic" w:eastAsia="IBM Plex Sans" w:hAnsi="Century Gothic" w:cs="Arial"/>
          <w:color w:val="0D0D0D" w:themeColor="text1" w:themeTint="F2"/>
          <w:sz w:val="22"/>
          <w:szCs w:val="21"/>
        </w:rPr>
        <w:t xml:space="preserve"> Within </w:t>
      </w:r>
      <w:r w:rsidRPr="00521C90">
        <w:rPr>
          <w:rFonts w:ascii="Century Gothic" w:eastAsia="IBM Plex Sans" w:hAnsi="Century Gothic" w:cs="Arial"/>
          <w:b/>
          <w:bCs/>
          <w:color w:val="0D0D0D" w:themeColor="text1" w:themeTint="F2"/>
          <w:sz w:val="22"/>
          <w:szCs w:val="21"/>
        </w:rPr>
        <w:t>four weeks</w:t>
      </w:r>
      <w:r w:rsidRPr="00521C90">
        <w:rPr>
          <w:rFonts w:ascii="Century Gothic" w:eastAsia="IBM Plex Sans" w:hAnsi="Century Gothic" w:cs="Arial"/>
          <w:color w:val="0D0D0D" w:themeColor="text1" w:themeTint="F2"/>
          <w:sz w:val="22"/>
          <w:szCs w:val="21"/>
        </w:rPr>
        <w:t xml:space="preserve">, IBM expanded QA staffing capacity by </w:t>
      </w:r>
      <w:r w:rsidRPr="00521C90">
        <w:rPr>
          <w:rFonts w:ascii="Century Gothic" w:eastAsia="IBM Plex Sans" w:hAnsi="Century Gothic" w:cs="Arial"/>
          <w:b/>
          <w:bCs/>
          <w:color w:val="0D0D0D" w:themeColor="text1" w:themeTint="F2"/>
          <w:sz w:val="22"/>
          <w:szCs w:val="21"/>
        </w:rPr>
        <w:t>35%</w:t>
      </w:r>
      <w:r w:rsidRPr="00521C90">
        <w:rPr>
          <w:rFonts w:ascii="Century Gothic" w:eastAsia="IBM Plex Sans" w:hAnsi="Century Gothic" w:cs="Arial"/>
          <w:color w:val="0D0D0D" w:themeColor="text1" w:themeTint="F2"/>
          <w:sz w:val="22"/>
          <w:szCs w:val="21"/>
        </w:rPr>
        <w:t xml:space="preserve">, deploying U.S.-based hybrid pods that combined onsite QA leadership in Phoenix with scalable nearshore teams from our </w:t>
      </w:r>
      <w:r w:rsidRPr="00521C90">
        <w:rPr>
          <w:rFonts w:ascii="Century Gothic" w:eastAsia="IBM Plex Sans" w:hAnsi="Century Gothic" w:cs="Arial"/>
          <w:b/>
          <w:bCs/>
          <w:color w:val="0D0D0D" w:themeColor="text1" w:themeTint="F2"/>
          <w:sz w:val="22"/>
          <w:szCs w:val="21"/>
        </w:rPr>
        <w:t>Client Innovation Centers (CICs)</w:t>
      </w:r>
      <w:r w:rsidRPr="00521C90">
        <w:rPr>
          <w:rFonts w:ascii="Century Gothic" w:eastAsia="IBM Plex Sans" w:hAnsi="Century Gothic" w:cs="Arial"/>
          <w:color w:val="0D0D0D" w:themeColor="text1" w:themeTint="F2"/>
          <w:sz w:val="22"/>
          <w:szCs w:val="21"/>
        </w:rPr>
        <w:t>. This structure ensured both real-time coordination with DES stakeholders and cost-effective test execution.</w:t>
      </w:r>
    </w:p>
    <w:p w14:paraId="316CD92F" w14:textId="77777777" w:rsidR="00521C90" w:rsidRPr="00521C90" w:rsidRDefault="00521C90" w:rsidP="00CF7600">
      <w:pPr>
        <w:pStyle w:val="NormalWeb"/>
        <w:numPr>
          <w:ilvl w:val="0"/>
          <w:numId w:val="43"/>
        </w:numPr>
        <w:tabs>
          <w:tab w:val="clear" w:pos="720"/>
          <w:tab w:val="num" w:pos="1440"/>
        </w:tabs>
        <w:spacing w:before="0" w:after="0"/>
        <w:ind w:left="144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Integrated Automation Framework:</w:t>
      </w:r>
      <w:r w:rsidRPr="00521C90">
        <w:rPr>
          <w:rFonts w:ascii="Century Gothic" w:eastAsia="IBM Plex Sans" w:hAnsi="Century Gothic" w:cs="Arial"/>
          <w:color w:val="0D0D0D" w:themeColor="text1" w:themeTint="F2"/>
          <w:sz w:val="22"/>
          <w:szCs w:val="21"/>
        </w:rPr>
        <w:t xml:space="preserve"> IBM introduced </w:t>
      </w:r>
      <w:r w:rsidRPr="00521C90">
        <w:rPr>
          <w:rFonts w:ascii="Century Gothic" w:eastAsia="IBM Plex Sans" w:hAnsi="Century Gothic" w:cs="Arial"/>
          <w:b/>
          <w:bCs/>
          <w:color w:val="0D0D0D" w:themeColor="text1" w:themeTint="F2"/>
          <w:sz w:val="22"/>
          <w:szCs w:val="21"/>
        </w:rPr>
        <w:t>Selenium- and Cypress-based automation integrated with Azure DevOps pipelines</w:t>
      </w:r>
      <w:r w:rsidRPr="00521C90">
        <w:rPr>
          <w:rFonts w:ascii="Century Gothic" w:eastAsia="IBM Plex Sans" w:hAnsi="Century Gothic" w:cs="Arial"/>
          <w:color w:val="0D0D0D" w:themeColor="text1" w:themeTint="F2"/>
          <w:sz w:val="22"/>
          <w:szCs w:val="21"/>
        </w:rPr>
        <w:t>, enabling continuous validation for Microsoft Dynamics workflows, APIs, and batch processes.</w:t>
      </w:r>
    </w:p>
    <w:p w14:paraId="37D4B1D2" w14:textId="77777777" w:rsidR="00521C90" w:rsidRPr="00521C90" w:rsidRDefault="00521C90" w:rsidP="00CF7600">
      <w:pPr>
        <w:pStyle w:val="NormalWeb"/>
        <w:numPr>
          <w:ilvl w:val="0"/>
          <w:numId w:val="43"/>
        </w:numPr>
        <w:tabs>
          <w:tab w:val="clear" w:pos="720"/>
          <w:tab w:val="num" w:pos="1440"/>
        </w:tabs>
        <w:spacing w:before="0" w:after="0"/>
        <w:ind w:left="144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Cross-Vendor Collaboration:</w:t>
      </w:r>
      <w:r w:rsidRPr="00521C90">
        <w:rPr>
          <w:rFonts w:ascii="Century Gothic" w:eastAsia="IBM Plex Sans" w:hAnsi="Century Gothic" w:cs="Arial"/>
          <w:color w:val="0D0D0D" w:themeColor="text1" w:themeTint="F2"/>
          <w:sz w:val="22"/>
          <w:szCs w:val="21"/>
        </w:rPr>
        <w:t xml:space="preserve"> IBM established a </w:t>
      </w:r>
      <w:r w:rsidRPr="00521C90">
        <w:rPr>
          <w:rFonts w:ascii="Century Gothic" w:eastAsia="IBM Plex Sans" w:hAnsi="Century Gothic" w:cs="Arial"/>
          <w:b/>
          <w:bCs/>
          <w:color w:val="0D0D0D" w:themeColor="text1" w:themeTint="F2"/>
          <w:sz w:val="22"/>
          <w:szCs w:val="21"/>
        </w:rPr>
        <w:t>multi-vendor QA governance forum</w:t>
      </w:r>
      <w:r w:rsidRPr="00521C90">
        <w:rPr>
          <w:rFonts w:ascii="Century Gothic" w:eastAsia="IBM Plex Sans" w:hAnsi="Century Gothic" w:cs="Arial"/>
          <w:color w:val="0D0D0D" w:themeColor="text1" w:themeTint="F2"/>
          <w:sz w:val="22"/>
          <w:szCs w:val="21"/>
        </w:rPr>
        <w:t xml:space="preserve"> with Accenture (system integrator), Microsoft, and DES program leads to align test cycles, standardize defect triage, and ensure traceable, auditable QA metrics.</w:t>
      </w:r>
    </w:p>
    <w:p w14:paraId="75B6A5A5" w14:textId="77777777" w:rsidR="00521C90" w:rsidRPr="00521C90" w:rsidRDefault="00521C90" w:rsidP="00CF7600">
      <w:pPr>
        <w:pStyle w:val="NormalWeb"/>
        <w:numPr>
          <w:ilvl w:val="0"/>
          <w:numId w:val="43"/>
        </w:numPr>
        <w:tabs>
          <w:tab w:val="clear" w:pos="720"/>
          <w:tab w:val="num" w:pos="1440"/>
        </w:tabs>
        <w:spacing w:before="0" w:after="0"/>
        <w:ind w:left="144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Performance and Cloud Validation:</w:t>
      </w:r>
      <w:r w:rsidRPr="00521C90">
        <w:rPr>
          <w:rFonts w:ascii="Century Gothic" w:eastAsia="IBM Plex Sans" w:hAnsi="Century Gothic" w:cs="Arial"/>
          <w:color w:val="0D0D0D" w:themeColor="text1" w:themeTint="F2"/>
          <w:sz w:val="22"/>
          <w:szCs w:val="21"/>
        </w:rPr>
        <w:t xml:space="preserve"> Developed </w:t>
      </w:r>
      <w:r w:rsidRPr="00521C90">
        <w:rPr>
          <w:rFonts w:ascii="Century Gothic" w:eastAsia="IBM Plex Sans" w:hAnsi="Century Gothic" w:cs="Arial"/>
          <w:b/>
          <w:bCs/>
          <w:color w:val="0D0D0D" w:themeColor="text1" w:themeTint="F2"/>
          <w:sz w:val="22"/>
          <w:szCs w:val="21"/>
        </w:rPr>
        <w:t>end-to-end performance tests for Azure-based services and SQL data pipelines</w:t>
      </w:r>
      <w:r w:rsidRPr="00521C90">
        <w:rPr>
          <w:rFonts w:ascii="Century Gothic" w:eastAsia="IBM Plex Sans" w:hAnsi="Century Gothic" w:cs="Arial"/>
          <w:color w:val="0D0D0D" w:themeColor="text1" w:themeTint="F2"/>
          <w:sz w:val="22"/>
          <w:szCs w:val="21"/>
        </w:rPr>
        <w:t>, ensuring scalability and response stability during peak transaction volumes.</w:t>
      </w:r>
    </w:p>
    <w:p w14:paraId="7AFD9B68" w14:textId="77777777" w:rsidR="00521C90" w:rsidRPr="00521C90" w:rsidRDefault="00521C90" w:rsidP="00CF7600">
      <w:pPr>
        <w:pStyle w:val="NormalWeb"/>
        <w:numPr>
          <w:ilvl w:val="0"/>
          <w:numId w:val="43"/>
        </w:numPr>
        <w:tabs>
          <w:tab w:val="clear" w:pos="720"/>
          <w:tab w:val="num" w:pos="1440"/>
        </w:tabs>
        <w:spacing w:before="0" w:after="0"/>
        <w:ind w:left="144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Predictive QA Analytics:</w:t>
      </w:r>
      <w:r w:rsidRPr="00521C90">
        <w:rPr>
          <w:rFonts w:ascii="Century Gothic" w:eastAsia="IBM Plex Sans" w:hAnsi="Century Gothic" w:cs="Arial"/>
          <w:color w:val="0D0D0D" w:themeColor="text1" w:themeTint="F2"/>
          <w:sz w:val="22"/>
          <w:szCs w:val="21"/>
        </w:rPr>
        <w:t xml:space="preserve"> Leveraged IBM’s </w:t>
      </w:r>
      <w:r w:rsidRPr="00521C90">
        <w:rPr>
          <w:rFonts w:ascii="Century Gothic" w:eastAsia="IBM Plex Sans" w:hAnsi="Century Gothic" w:cs="Arial"/>
          <w:b/>
          <w:bCs/>
          <w:color w:val="0D0D0D" w:themeColor="text1" w:themeTint="F2"/>
          <w:sz w:val="22"/>
          <w:szCs w:val="21"/>
        </w:rPr>
        <w:t>Intelligent Quality Platform (IQP+)</w:t>
      </w:r>
      <w:r w:rsidRPr="00521C90">
        <w:rPr>
          <w:rFonts w:ascii="Century Gothic" w:eastAsia="IBM Plex Sans" w:hAnsi="Century Gothic" w:cs="Arial"/>
          <w:color w:val="0D0D0D" w:themeColor="text1" w:themeTint="F2"/>
          <w:sz w:val="22"/>
          <w:szCs w:val="21"/>
        </w:rPr>
        <w:t xml:space="preserve"> to identify defect-prone components through historical defect clustering and code-change analytics — allowing proactive test prioritization.</w:t>
      </w:r>
    </w:p>
    <w:p w14:paraId="6E3FD758" w14:textId="77777777" w:rsidR="00521C90" w:rsidRPr="00521C90" w:rsidRDefault="00521C90" w:rsidP="00240AB3">
      <w:pPr>
        <w:pStyle w:val="NormalWeb"/>
        <w:spacing w:before="0" w:after="0"/>
        <w:ind w:left="72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Outcomes and Impact:</w:t>
      </w:r>
    </w:p>
    <w:p w14:paraId="223540D5" w14:textId="77777777" w:rsidR="00521C90" w:rsidRPr="00521C90" w:rsidRDefault="00521C90" w:rsidP="00CF7600">
      <w:pPr>
        <w:pStyle w:val="NormalWeb"/>
        <w:numPr>
          <w:ilvl w:val="0"/>
          <w:numId w:val="44"/>
        </w:numPr>
        <w:tabs>
          <w:tab w:val="clear" w:pos="720"/>
          <w:tab w:val="num" w:pos="1440"/>
        </w:tabs>
        <w:spacing w:before="0" w:after="0"/>
        <w:ind w:left="144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On-Time Delivery of All Major ACA Releases:</w:t>
      </w:r>
      <w:r w:rsidRPr="00521C90">
        <w:rPr>
          <w:rFonts w:ascii="Century Gothic" w:eastAsia="IBM Plex Sans" w:hAnsi="Century Gothic" w:cs="Arial"/>
          <w:color w:val="0D0D0D" w:themeColor="text1" w:themeTint="F2"/>
          <w:sz w:val="22"/>
          <w:szCs w:val="21"/>
        </w:rPr>
        <w:t xml:space="preserve"> IBM’s structured QA delivery and governance enabled DES to meet all federal ACA compliance deadlines, preventing costly schedule delays.</w:t>
      </w:r>
    </w:p>
    <w:p w14:paraId="7004FA93" w14:textId="77777777" w:rsidR="00521C90" w:rsidRPr="00521C90" w:rsidRDefault="00521C90" w:rsidP="00CF7600">
      <w:pPr>
        <w:pStyle w:val="NormalWeb"/>
        <w:numPr>
          <w:ilvl w:val="0"/>
          <w:numId w:val="44"/>
        </w:numPr>
        <w:tabs>
          <w:tab w:val="clear" w:pos="720"/>
          <w:tab w:val="num" w:pos="1440"/>
        </w:tabs>
        <w:spacing w:before="0" w:after="0"/>
        <w:ind w:left="144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Zero Critical Production Defects:</w:t>
      </w:r>
      <w:r w:rsidRPr="00521C90">
        <w:rPr>
          <w:rFonts w:ascii="Century Gothic" w:eastAsia="IBM Plex Sans" w:hAnsi="Century Gothic" w:cs="Arial"/>
          <w:color w:val="0D0D0D" w:themeColor="text1" w:themeTint="F2"/>
          <w:sz w:val="22"/>
          <w:szCs w:val="21"/>
        </w:rPr>
        <w:t xml:space="preserve"> Rigorous automation and regression validation ensured that no Sev-1 or Sev-2 defects escaped to production — preserving citizen trust and operational continuity.</w:t>
      </w:r>
    </w:p>
    <w:p w14:paraId="0A0DD962" w14:textId="77777777" w:rsidR="00521C90" w:rsidRPr="00521C90" w:rsidRDefault="00521C90" w:rsidP="00CF7600">
      <w:pPr>
        <w:pStyle w:val="NormalWeb"/>
        <w:numPr>
          <w:ilvl w:val="0"/>
          <w:numId w:val="44"/>
        </w:numPr>
        <w:tabs>
          <w:tab w:val="clear" w:pos="720"/>
          <w:tab w:val="num" w:pos="1440"/>
        </w:tabs>
        <w:spacing w:before="0" w:after="0"/>
        <w:ind w:left="144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35% Faster Release Validation:</w:t>
      </w:r>
      <w:r w:rsidRPr="00521C90">
        <w:rPr>
          <w:rFonts w:ascii="Century Gothic" w:eastAsia="IBM Plex Sans" w:hAnsi="Century Gothic" w:cs="Arial"/>
          <w:color w:val="0D0D0D" w:themeColor="text1" w:themeTint="F2"/>
          <w:sz w:val="22"/>
          <w:szCs w:val="21"/>
        </w:rPr>
        <w:t xml:space="preserve"> The combination of automation, parallel test execution, and AI-driven test selection reduced test cycle duration from six weeks to less than four.</w:t>
      </w:r>
    </w:p>
    <w:p w14:paraId="5059415E" w14:textId="77777777" w:rsidR="00521C90" w:rsidRPr="00521C90" w:rsidRDefault="00521C90" w:rsidP="00CF7600">
      <w:pPr>
        <w:pStyle w:val="NormalWeb"/>
        <w:numPr>
          <w:ilvl w:val="0"/>
          <w:numId w:val="44"/>
        </w:numPr>
        <w:tabs>
          <w:tab w:val="clear" w:pos="720"/>
          <w:tab w:val="num" w:pos="1440"/>
        </w:tabs>
        <w:spacing w:before="0" w:after="0"/>
        <w:ind w:left="144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20% Cost Efficiency Gains:</w:t>
      </w:r>
      <w:r w:rsidRPr="00521C90">
        <w:rPr>
          <w:rFonts w:ascii="Century Gothic" w:eastAsia="IBM Plex Sans" w:hAnsi="Century Gothic" w:cs="Arial"/>
          <w:color w:val="0D0D0D" w:themeColor="text1" w:themeTint="F2"/>
          <w:sz w:val="22"/>
          <w:szCs w:val="21"/>
        </w:rPr>
        <w:t xml:space="preserve"> Optimized hybrid staffing and automation coverage allowed DES to manage increased release frequency without expanding budget or QA headcount.</w:t>
      </w:r>
    </w:p>
    <w:p w14:paraId="0B2D98E8" w14:textId="77777777" w:rsidR="00521C90" w:rsidRPr="00521C90" w:rsidRDefault="00521C90" w:rsidP="00CF7600">
      <w:pPr>
        <w:pStyle w:val="NormalWeb"/>
        <w:numPr>
          <w:ilvl w:val="0"/>
          <w:numId w:val="44"/>
        </w:numPr>
        <w:tabs>
          <w:tab w:val="clear" w:pos="720"/>
          <w:tab w:val="num" w:pos="1440"/>
        </w:tabs>
        <w:spacing w:before="0" w:after="0"/>
        <w:ind w:left="144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Improved System Scalability and Uptime:</w:t>
      </w:r>
      <w:r w:rsidRPr="00521C90">
        <w:rPr>
          <w:rFonts w:ascii="Century Gothic" w:eastAsia="IBM Plex Sans" w:hAnsi="Century Gothic" w:cs="Arial"/>
          <w:color w:val="0D0D0D" w:themeColor="text1" w:themeTint="F2"/>
          <w:sz w:val="22"/>
          <w:szCs w:val="21"/>
        </w:rPr>
        <w:t xml:space="preserve"> Performance validation ensured </w:t>
      </w:r>
      <w:r w:rsidRPr="00521C90">
        <w:rPr>
          <w:rFonts w:ascii="Century Gothic" w:eastAsia="IBM Plex Sans" w:hAnsi="Century Gothic" w:cs="Arial"/>
          <w:b/>
          <w:bCs/>
          <w:color w:val="0D0D0D" w:themeColor="text1" w:themeTint="F2"/>
          <w:sz w:val="22"/>
          <w:szCs w:val="21"/>
        </w:rPr>
        <w:t>Azure-based applications maintained 99.98% availability</w:t>
      </w:r>
      <w:r w:rsidRPr="00521C90">
        <w:rPr>
          <w:rFonts w:ascii="Century Gothic" w:eastAsia="IBM Plex Sans" w:hAnsi="Century Gothic" w:cs="Arial"/>
          <w:color w:val="0D0D0D" w:themeColor="text1" w:themeTint="F2"/>
          <w:sz w:val="22"/>
          <w:szCs w:val="21"/>
        </w:rPr>
        <w:t>, even during enrollment peaks.</w:t>
      </w:r>
    </w:p>
    <w:p w14:paraId="6F4FA304" w14:textId="77777777" w:rsidR="00521C90" w:rsidRDefault="00521C90" w:rsidP="00CF7600">
      <w:pPr>
        <w:pStyle w:val="NormalWeb"/>
        <w:numPr>
          <w:ilvl w:val="0"/>
          <w:numId w:val="44"/>
        </w:numPr>
        <w:tabs>
          <w:tab w:val="clear" w:pos="720"/>
          <w:tab w:val="num" w:pos="1440"/>
        </w:tabs>
        <w:spacing w:before="0" w:after="0"/>
        <w:ind w:left="144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Enhanced Visibility for Leadership:</w:t>
      </w:r>
      <w:r w:rsidRPr="00521C90">
        <w:rPr>
          <w:rFonts w:ascii="Century Gothic" w:eastAsia="IBM Plex Sans" w:hAnsi="Century Gothic" w:cs="Arial"/>
          <w:color w:val="0D0D0D" w:themeColor="text1" w:themeTint="F2"/>
          <w:sz w:val="22"/>
          <w:szCs w:val="21"/>
        </w:rPr>
        <w:t xml:space="preserve"> IBM’s real-time dashboards integrated with Azure DevOps and Power BI provided DES executives with immediate insight into defect trends, readiness scores, and risk indicators — supporting data-driven release decisions.</w:t>
      </w:r>
    </w:p>
    <w:p w14:paraId="6B7EC713" w14:textId="77777777" w:rsidR="004D28CA" w:rsidRPr="00521C90" w:rsidRDefault="004D28CA" w:rsidP="00240AB3">
      <w:pPr>
        <w:pStyle w:val="NormalWeb"/>
        <w:spacing w:before="0" w:after="0"/>
        <w:ind w:left="1440"/>
        <w:rPr>
          <w:rFonts w:ascii="Century Gothic" w:eastAsia="IBM Plex Sans" w:hAnsi="Century Gothic" w:cs="Arial"/>
          <w:color w:val="0D0D0D" w:themeColor="text1" w:themeTint="F2"/>
          <w:sz w:val="22"/>
          <w:szCs w:val="21"/>
        </w:rPr>
      </w:pPr>
    </w:p>
    <w:p w14:paraId="5D2DCD22" w14:textId="77777777" w:rsidR="00521C90" w:rsidRPr="00521C90" w:rsidRDefault="00521C90" w:rsidP="00240AB3">
      <w:pPr>
        <w:pStyle w:val="NormalWeb"/>
        <w:spacing w:before="0" w:after="0"/>
        <w:rPr>
          <w:rFonts w:ascii="Century Gothic" w:eastAsia="IBM Plex Sans" w:hAnsi="Century Gothic" w:cs="Arial"/>
          <w:color w:val="0D0D0D" w:themeColor="text1" w:themeTint="F2"/>
          <w:sz w:val="22"/>
          <w:szCs w:val="21"/>
        </w:rPr>
      </w:pPr>
      <w:r w:rsidRPr="00521C90">
        <w:rPr>
          <w:rFonts w:ascii="Century Gothic" w:eastAsia="IBM Plex Sans" w:hAnsi="Century Gothic" w:cs="Arial"/>
          <w:b/>
          <w:bCs/>
          <w:color w:val="0D0D0D" w:themeColor="text1" w:themeTint="F2"/>
          <w:sz w:val="22"/>
          <w:szCs w:val="21"/>
        </w:rPr>
        <w:t>Relevance to CalSAWS:</w:t>
      </w:r>
      <w:r w:rsidRPr="00521C90">
        <w:rPr>
          <w:rFonts w:ascii="Century Gothic" w:eastAsia="IBM Plex Sans" w:hAnsi="Century Gothic" w:cs="Arial"/>
          <w:color w:val="0D0D0D" w:themeColor="text1" w:themeTint="F2"/>
          <w:sz w:val="22"/>
          <w:szCs w:val="21"/>
        </w:rPr>
        <w:br/>
        <w:t xml:space="preserve">CalSAWS, like DES, operates in a </w:t>
      </w:r>
      <w:r w:rsidRPr="00521C90">
        <w:rPr>
          <w:rFonts w:ascii="Century Gothic" w:eastAsia="IBM Plex Sans" w:hAnsi="Century Gothic" w:cs="Arial"/>
          <w:b/>
          <w:bCs/>
          <w:color w:val="0D0D0D" w:themeColor="text1" w:themeTint="F2"/>
          <w:sz w:val="22"/>
          <w:szCs w:val="21"/>
        </w:rPr>
        <w:t>multi-vendor, policy-driven environment</w:t>
      </w:r>
      <w:r w:rsidRPr="00521C90">
        <w:rPr>
          <w:rFonts w:ascii="Century Gothic" w:eastAsia="IBM Plex Sans" w:hAnsi="Century Gothic" w:cs="Arial"/>
          <w:color w:val="0D0D0D" w:themeColor="text1" w:themeTint="F2"/>
          <w:sz w:val="22"/>
          <w:szCs w:val="21"/>
        </w:rPr>
        <w:t xml:space="preserve"> with cloud modernization at its core. IBM’s success at Arizona DES demonstrates our proven ability to integrate QA across Microsoft-based ecosystems (Azure, Dynamics, SQL), rapidly scale resources, and deliver measurable efficiency without additional burden on state </w:t>
      </w:r>
      <w:r w:rsidRPr="00521C90">
        <w:rPr>
          <w:rFonts w:ascii="Century Gothic" w:eastAsia="IBM Plex Sans" w:hAnsi="Century Gothic" w:cs="Arial"/>
          <w:color w:val="0D0D0D" w:themeColor="text1" w:themeTint="F2"/>
          <w:sz w:val="22"/>
          <w:szCs w:val="21"/>
        </w:rPr>
        <w:lastRenderedPageBreak/>
        <w:t xml:space="preserve">resources. This mirrors the Consortium’s vision for </w:t>
      </w:r>
      <w:r w:rsidRPr="00521C90">
        <w:rPr>
          <w:rFonts w:ascii="Century Gothic" w:eastAsia="IBM Plex Sans" w:hAnsi="Century Gothic" w:cs="Arial"/>
          <w:b/>
          <w:bCs/>
          <w:color w:val="0D0D0D" w:themeColor="text1" w:themeTint="F2"/>
          <w:sz w:val="22"/>
          <w:szCs w:val="21"/>
        </w:rPr>
        <w:t>independent, continuously improving QA</w:t>
      </w:r>
      <w:r w:rsidRPr="00521C90">
        <w:rPr>
          <w:rFonts w:ascii="Century Gothic" w:eastAsia="IBM Plex Sans" w:hAnsi="Century Gothic" w:cs="Arial"/>
          <w:color w:val="0D0D0D" w:themeColor="text1" w:themeTint="F2"/>
          <w:sz w:val="22"/>
          <w:szCs w:val="21"/>
        </w:rPr>
        <w:t xml:space="preserve"> that strengthens quality while supporting modernization.</w:t>
      </w:r>
    </w:p>
    <w:p w14:paraId="573BE8F1" w14:textId="6FDD317C" w:rsidR="00521C90" w:rsidRDefault="00521C90" w:rsidP="008843AA">
      <w:pPr>
        <w:pStyle w:val="CS-IBMCalloutText"/>
        <w:rPr>
          <w:rFonts w:eastAsia="IBM Plex Sans"/>
        </w:rPr>
      </w:pPr>
    </w:p>
    <w:p w14:paraId="6760AE1D" w14:textId="687468D0" w:rsidR="00240AB3" w:rsidRPr="00714EC9" w:rsidRDefault="00240AB3" w:rsidP="00240AB3">
      <w:pPr>
        <w:pStyle w:val="CS-IBMResponseText"/>
        <w:spacing w:before="0" w:after="0"/>
        <w:rPr>
          <w:b/>
          <w:bCs/>
        </w:rPr>
      </w:pPr>
      <w:r>
        <w:rPr>
          <w:b/>
          <w:bCs/>
        </w:rPr>
        <w:t>Florida Department of Children and Families (DCF)</w:t>
      </w:r>
    </w:p>
    <w:p w14:paraId="423769F8" w14:textId="77777777" w:rsidR="001036E0" w:rsidRDefault="001036E0" w:rsidP="00240AB3">
      <w:pPr>
        <w:pStyle w:val="NormalWeb"/>
        <w:spacing w:before="0" w:after="0"/>
        <w:ind w:left="720"/>
        <w:rPr>
          <w:rFonts w:ascii="Century Gothic" w:eastAsia="IBM Plex Sans" w:hAnsi="Century Gothic" w:cs="Arial"/>
          <w:sz w:val="22"/>
          <w:szCs w:val="21"/>
        </w:rPr>
      </w:pPr>
      <w:r w:rsidRPr="005959CB">
        <w:rPr>
          <w:rFonts w:ascii="Century Gothic" w:eastAsia="IBM Plex Sans" w:hAnsi="Century Gothic" w:cs="Arial"/>
          <w:b/>
          <w:bCs/>
          <w:sz w:val="22"/>
          <w:szCs w:val="21"/>
        </w:rPr>
        <w:t>Context and Challenge:</w:t>
      </w:r>
      <w:r w:rsidRPr="005959CB">
        <w:rPr>
          <w:rFonts w:ascii="Century Gothic" w:eastAsia="IBM Plex Sans" w:hAnsi="Century Gothic" w:cs="Arial"/>
          <w:sz w:val="22"/>
          <w:szCs w:val="21"/>
        </w:rPr>
        <w:br/>
        <w:t xml:space="preserve">Florida DCF manages public assistance programs serving over 3 million households. During a major policy reform and benefits renewal cycle, the agency experienced a </w:t>
      </w:r>
      <w:r w:rsidRPr="005959CB">
        <w:rPr>
          <w:rFonts w:ascii="Century Gothic" w:eastAsia="IBM Plex Sans" w:hAnsi="Century Gothic" w:cs="Arial"/>
          <w:b/>
          <w:bCs/>
          <w:sz w:val="22"/>
          <w:szCs w:val="21"/>
        </w:rPr>
        <w:t>400% surge in case processing volume</w:t>
      </w:r>
      <w:r w:rsidRPr="005959CB">
        <w:rPr>
          <w:rFonts w:ascii="Century Gothic" w:eastAsia="IBM Plex Sans" w:hAnsi="Century Gothic" w:cs="Arial"/>
          <w:sz w:val="22"/>
          <w:szCs w:val="21"/>
        </w:rPr>
        <w:t>.</w:t>
      </w:r>
      <w:r w:rsidRPr="005959CB">
        <w:rPr>
          <w:rFonts w:ascii="Century Gothic" w:eastAsia="IBM Plex Sans" w:hAnsi="Century Gothic" w:cs="Arial"/>
          <w:sz w:val="22"/>
          <w:szCs w:val="21"/>
        </w:rPr>
        <w:br/>
        <w:t xml:space="preserve">The legacy system relied on </w:t>
      </w:r>
      <w:r w:rsidRPr="005959CB">
        <w:rPr>
          <w:rFonts w:ascii="Century Gothic" w:eastAsia="IBM Plex Sans" w:hAnsi="Century Gothic" w:cs="Arial"/>
          <w:b/>
          <w:bCs/>
          <w:sz w:val="22"/>
          <w:szCs w:val="21"/>
        </w:rPr>
        <w:t>.NET and Oracle-based applications with batch-heavy operations</w:t>
      </w:r>
      <w:r w:rsidRPr="005959CB">
        <w:rPr>
          <w:rFonts w:ascii="Century Gothic" w:eastAsia="IBM Plex Sans" w:hAnsi="Century Gothic" w:cs="Arial"/>
          <w:sz w:val="22"/>
          <w:szCs w:val="21"/>
        </w:rPr>
        <w:t xml:space="preserve">, while the modernization initiative introduced </w:t>
      </w:r>
      <w:r w:rsidRPr="005959CB">
        <w:rPr>
          <w:rFonts w:ascii="Century Gothic" w:eastAsia="IBM Plex Sans" w:hAnsi="Century Gothic" w:cs="Arial"/>
          <w:b/>
          <w:bCs/>
          <w:sz w:val="22"/>
          <w:szCs w:val="21"/>
        </w:rPr>
        <w:t>web-based case management portals, REST APIs, and cloud-deployed microservices</w:t>
      </w:r>
      <w:r w:rsidRPr="005959CB">
        <w:rPr>
          <w:rFonts w:ascii="Century Gothic" w:eastAsia="IBM Plex Sans" w:hAnsi="Century Gothic" w:cs="Arial"/>
          <w:sz w:val="22"/>
          <w:szCs w:val="21"/>
        </w:rPr>
        <w:t>. The surge created unprecedented demand on QA teams to validate complex eligibility rules, multilingual notices, and citizen interactions without extending release schedules.</w:t>
      </w:r>
    </w:p>
    <w:p w14:paraId="0300D98F" w14:textId="77777777" w:rsidR="005959CB" w:rsidRPr="005959CB" w:rsidRDefault="005959CB" w:rsidP="00240AB3">
      <w:pPr>
        <w:pStyle w:val="NormalWeb"/>
        <w:spacing w:before="0" w:after="0"/>
        <w:ind w:left="720"/>
        <w:rPr>
          <w:rFonts w:ascii="Century Gothic" w:eastAsia="IBM Plex Sans" w:hAnsi="Century Gothic" w:cs="Arial"/>
          <w:sz w:val="22"/>
          <w:szCs w:val="21"/>
        </w:rPr>
      </w:pPr>
    </w:p>
    <w:p w14:paraId="62E91D18" w14:textId="7FA7DC0F" w:rsidR="001036E0" w:rsidRPr="005959CB" w:rsidRDefault="001036E0" w:rsidP="00240AB3">
      <w:pPr>
        <w:pStyle w:val="NormalWeb"/>
        <w:spacing w:before="0" w:after="0"/>
        <w:ind w:left="720"/>
        <w:rPr>
          <w:rFonts w:ascii="Century Gothic" w:eastAsia="IBM Plex Sans" w:hAnsi="Century Gothic" w:cs="Arial"/>
          <w:sz w:val="22"/>
          <w:szCs w:val="21"/>
        </w:rPr>
      </w:pPr>
      <w:r w:rsidRPr="005959CB">
        <w:rPr>
          <w:rFonts w:ascii="Century Gothic" w:eastAsia="IBM Plex Sans" w:hAnsi="Century Gothic" w:cs="Arial"/>
          <w:b/>
          <w:bCs/>
          <w:sz w:val="22"/>
          <w:szCs w:val="21"/>
        </w:rPr>
        <w:t>IBM’s Response:</w:t>
      </w:r>
      <w:r w:rsidRPr="005959CB">
        <w:rPr>
          <w:rFonts w:ascii="Century Gothic" w:eastAsia="IBM Plex Sans" w:hAnsi="Century Gothic" w:cs="Arial"/>
          <w:sz w:val="22"/>
          <w:szCs w:val="21"/>
        </w:rPr>
        <w:br/>
        <w:t xml:space="preserve">IBM led </w:t>
      </w:r>
      <w:r w:rsidR="00A75D93">
        <w:rPr>
          <w:rFonts w:ascii="Century Gothic" w:eastAsia="IBM Plex Sans" w:hAnsi="Century Gothic" w:cs="Arial"/>
          <w:sz w:val="22"/>
          <w:szCs w:val="21"/>
        </w:rPr>
        <w:t xml:space="preserve">development and </w:t>
      </w:r>
      <w:r w:rsidRPr="005959CB">
        <w:rPr>
          <w:rFonts w:ascii="Century Gothic" w:eastAsia="IBM Plex Sans" w:hAnsi="Century Gothic" w:cs="Arial"/>
          <w:sz w:val="22"/>
          <w:szCs w:val="21"/>
        </w:rPr>
        <w:t xml:space="preserve">QA </w:t>
      </w:r>
      <w:r w:rsidR="00A75D93">
        <w:rPr>
          <w:rFonts w:ascii="Century Gothic" w:eastAsia="IBM Plex Sans" w:hAnsi="Century Gothic" w:cs="Arial"/>
          <w:sz w:val="22"/>
          <w:szCs w:val="21"/>
        </w:rPr>
        <w:t>partner,</w:t>
      </w:r>
      <w:r w:rsidRPr="005959CB">
        <w:rPr>
          <w:rFonts w:ascii="Century Gothic" w:eastAsia="IBM Plex Sans" w:hAnsi="Century Gothic" w:cs="Arial"/>
          <w:sz w:val="22"/>
          <w:szCs w:val="21"/>
        </w:rPr>
        <w:t xml:space="preserve"> process re-engineering to maintain system reliability and performance under extreme load.</w:t>
      </w:r>
      <w:r w:rsidRPr="005959CB">
        <w:rPr>
          <w:rFonts w:ascii="Century Gothic" w:eastAsia="IBM Plex Sans" w:hAnsi="Century Gothic" w:cs="Arial"/>
          <w:sz w:val="22"/>
          <w:szCs w:val="21"/>
        </w:rPr>
        <w:br/>
        <w:t>Key actions included:</w:t>
      </w:r>
    </w:p>
    <w:p w14:paraId="240DFEEE" w14:textId="50DA143E" w:rsidR="001036E0" w:rsidRPr="005959CB" w:rsidRDefault="001036E0" w:rsidP="00CF7600">
      <w:pPr>
        <w:pStyle w:val="NormalWeb"/>
        <w:numPr>
          <w:ilvl w:val="0"/>
          <w:numId w:val="41"/>
        </w:numPr>
        <w:tabs>
          <w:tab w:val="clear" w:pos="720"/>
          <w:tab w:val="num" w:pos="1440"/>
        </w:tabs>
        <w:spacing w:before="0" w:after="0"/>
        <w:ind w:left="1440"/>
        <w:rPr>
          <w:rFonts w:ascii="Century Gothic" w:eastAsia="IBM Plex Sans" w:hAnsi="Century Gothic" w:cs="Arial"/>
          <w:sz w:val="22"/>
          <w:szCs w:val="21"/>
        </w:rPr>
      </w:pPr>
      <w:r w:rsidRPr="005959CB">
        <w:rPr>
          <w:rFonts w:ascii="Century Gothic" w:eastAsia="IBM Plex Sans" w:hAnsi="Century Gothic" w:cs="Arial"/>
          <w:b/>
          <w:bCs/>
          <w:sz w:val="22"/>
          <w:szCs w:val="21"/>
        </w:rPr>
        <w:t>Process Optimization and Test Prioritization:</w:t>
      </w:r>
      <w:r w:rsidRPr="005959CB">
        <w:rPr>
          <w:rFonts w:ascii="Century Gothic" w:eastAsia="IBM Plex Sans" w:hAnsi="Century Gothic" w:cs="Arial"/>
          <w:sz w:val="22"/>
          <w:szCs w:val="21"/>
        </w:rPr>
        <w:t xml:space="preserve"> Re-engineered QA processes to support higher test throughput by implementing </w:t>
      </w:r>
      <w:r w:rsidRPr="005959CB">
        <w:rPr>
          <w:rFonts w:ascii="Century Gothic" w:eastAsia="IBM Plex Sans" w:hAnsi="Century Gothic" w:cs="Arial"/>
          <w:b/>
          <w:bCs/>
          <w:sz w:val="22"/>
          <w:szCs w:val="21"/>
        </w:rPr>
        <w:t>risk-based prioritization</w:t>
      </w:r>
      <w:r w:rsidR="005959CB">
        <w:rPr>
          <w:rFonts w:ascii="Century Gothic" w:eastAsia="IBM Plex Sans" w:hAnsi="Century Gothic" w:cs="Arial"/>
          <w:sz w:val="22"/>
          <w:szCs w:val="21"/>
        </w:rPr>
        <w:t xml:space="preserve"> </w:t>
      </w:r>
      <w:r w:rsidRPr="005959CB">
        <w:rPr>
          <w:rFonts w:ascii="Century Gothic" w:eastAsia="IBM Plex Sans" w:hAnsi="Century Gothic" w:cs="Arial"/>
          <w:sz w:val="22"/>
          <w:szCs w:val="21"/>
        </w:rPr>
        <w:t>focusing on high-impact modules such as eligibility redetermination, payments, and notices.</w:t>
      </w:r>
    </w:p>
    <w:p w14:paraId="47F9C8CD" w14:textId="77777777" w:rsidR="001036E0" w:rsidRPr="005959CB" w:rsidRDefault="001036E0" w:rsidP="00CF7600">
      <w:pPr>
        <w:pStyle w:val="NormalWeb"/>
        <w:numPr>
          <w:ilvl w:val="0"/>
          <w:numId w:val="41"/>
        </w:numPr>
        <w:tabs>
          <w:tab w:val="clear" w:pos="720"/>
          <w:tab w:val="num" w:pos="1440"/>
        </w:tabs>
        <w:spacing w:before="0" w:after="0"/>
        <w:ind w:left="1440"/>
        <w:rPr>
          <w:rFonts w:ascii="Century Gothic" w:eastAsia="IBM Plex Sans" w:hAnsi="Century Gothic" w:cs="Arial"/>
          <w:sz w:val="22"/>
          <w:szCs w:val="21"/>
        </w:rPr>
      </w:pPr>
      <w:r w:rsidRPr="005959CB">
        <w:rPr>
          <w:rFonts w:ascii="Century Gothic" w:eastAsia="IBM Plex Sans" w:hAnsi="Century Gothic" w:cs="Arial"/>
          <w:b/>
          <w:bCs/>
          <w:sz w:val="22"/>
          <w:szCs w:val="21"/>
        </w:rPr>
        <w:t>Automation Expansion:</w:t>
      </w:r>
      <w:r w:rsidRPr="005959CB">
        <w:rPr>
          <w:rFonts w:ascii="Century Gothic" w:eastAsia="IBM Plex Sans" w:hAnsi="Century Gothic" w:cs="Arial"/>
          <w:sz w:val="22"/>
          <w:szCs w:val="21"/>
        </w:rPr>
        <w:t xml:space="preserve"> Increased automation coverage using </w:t>
      </w:r>
      <w:r w:rsidRPr="005959CB">
        <w:rPr>
          <w:rFonts w:ascii="Century Gothic" w:eastAsia="IBM Plex Sans" w:hAnsi="Century Gothic" w:cs="Arial"/>
          <w:b/>
          <w:bCs/>
          <w:sz w:val="22"/>
          <w:szCs w:val="21"/>
        </w:rPr>
        <w:t>Selenium, Appium, and IBM’s Intelligent Quality Platform (IQP+)</w:t>
      </w:r>
      <w:r w:rsidRPr="005959CB">
        <w:rPr>
          <w:rFonts w:ascii="Century Gothic" w:eastAsia="IBM Plex Sans" w:hAnsi="Century Gothic" w:cs="Arial"/>
          <w:sz w:val="22"/>
          <w:szCs w:val="21"/>
        </w:rPr>
        <w:t>, improving regression execution time by over 40%.</w:t>
      </w:r>
    </w:p>
    <w:p w14:paraId="5499403B" w14:textId="77777777" w:rsidR="001036E0" w:rsidRPr="005959CB" w:rsidRDefault="001036E0" w:rsidP="00CF7600">
      <w:pPr>
        <w:pStyle w:val="NormalWeb"/>
        <w:numPr>
          <w:ilvl w:val="0"/>
          <w:numId w:val="41"/>
        </w:numPr>
        <w:tabs>
          <w:tab w:val="clear" w:pos="720"/>
          <w:tab w:val="num" w:pos="1440"/>
        </w:tabs>
        <w:spacing w:before="0" w:after="0"/>
        <w:ind w:left="1440"/>
        <w:rPr>
          <w:rFonts w:ascii="Century Gothic" w:eastAsia="IBM Plex Sans" w:hAnsi="Century Gothic" w:cs="Arial"/>
          <w:sz w:val="22"/>
          <w:szCs w:val="21"/>
        </w:rPr>
      </w:pPr>
      <w:r w:rsidRPr="005959CB">
        <w:rPr>
          <w:rFonts w:ascii="Century Gothic" w:eastAsia="IBM Plex Sans" w:hAnsi="Century Gothic" w:cs="Arial"/>
          <w:b/>
          <w:bCs/>
          <w:sz w:val="22"/>
          <w:szCs w:val="21"/>
        </w:rPr>
        <w:t>Performance and Scalability Validation:</w:t>
      </w:r>
      <w:r w:rsidRPr="005959CB">
        <w:rPr>
          <w:rFonts w:ascii="Century Gothic" w:eastAsia="IBM Plex Sans" w:hAnsi="Century Gothic" w:cs="Arial"/>
          <w:sz w:val="22"/>
          <w:szCs w:val="21"/>
        </w:rPr>
        <w:t xml:space="preserve"> Introduced </w:t>
      </w:r>
      <w:r w:rsidRPr="005959CB">
        <w:rPr>
          <w:rFonts w:ascii="Century Gothic" w:eastAsia="IBM Plex Sans" w:hAnsi="Century Gothic" w:cs="Arial"/>
          <w:b/>
          <w:bCs/>
          <w:sz w:val="22"/>
          <w:szCs w:val="21"/>
        </w:rPr>
        <w:t>load and endurance testing</w:t>
      </w:r>
      <w:r w:rsidRPr="005959CB">
        <w:rPr>
          <w:rFonts w:ascii="Century Gothic" w:eastAsia="IBM Plex Sans" w:hAnsi="Century Gothic" w:cs="Arial"/>
          <w:sz w:val="22"/>
          <w:szCs w:val="21"/>
        </w:rPr>
        <w:t xml:space="preserve"> for key workloads to validate system stability during peak processing periods.</w:t>
      </w:r>
    </w:p>
    <w:p w14:paraId="1641F685" w14:textId="77777777" w:rsidR="001036E0" w:rsidRDefault="001036E0" w:rsidP="00CF7600">
      <w:pPr>
        <w:pStyle w:val="NormalWeb"/>
        <w:numPr>
          <w:ilvl w:val="0"/>
          <w:numId w:val="41"/>
        </w:numPr>
        <w:tabs>
          <w:tab w:val="clear" w:pos="720"/>
          <w:tab w:val="num" w:pos="1440"/>
        </w:tabs>
        <w:spacing w:before="0" w:after="0"/>
        <w:ind w:left="1440"/>
        <w:rPr>
          <w:rFonts w:ascii="Century Gothic" w:eastAsia="IBM Plex Sans" w:hAnsi="Century Gothic" w:cs="Arial"/>
          <w:sz w:val="22"/>
          <w:szCs w:val="21"/>
        </w:rPr>
      </w:pPr>
      <w:r w:rsidRPr="005959CB">
        <w:rPr>
          <w:rFonts w:ascii="Century Gothic" w:eastAsia="IBM Plex Sans" w:hAnsi="Century Gothic" w:cs="Arial"/>
          <w:b/>
          <w:bCs/>
          <w:sz w:val="22"/>
          <w:szCs w:val="21"/>
        </w:rPr>
        <w:t>Specialized SMEs for Program Areas:</w:t>
      </w:r>
      <w:r w:rsidRPr="005959CB">
        <w:rPr>
          <w:rFonts w:ascii="Century Gothic" w:eastAsia="IBM Plex Sans" w:hAnsi="Century Gothic" w:cs="Arial"/>
          <w:sz w:val="22"/>
          <w:szCs w:val="21"/>
        </w:rPr>
        <w:t xml:space="preserve"> Deployed </w:t>
      </w:r>
      <w:r w:rsidRPr="005959CB">
        <w:rPr>
          <w:rFonts w:ascii="Century Gothic" w:eastAsia="IBM Plex Sans" w:hAnsi="Century Gothic" w:cs="Arial"/>
          <w:b/>
          <w:bCs/>
          <w:sz w:val="22"/>
          <w:szCs w:val="21"/>
        </w:rPr>
        <w:t>QA subject matter experts (SMEs)</w:t>
      </w:r>
      <w:r w:rsidRPr="005959CB">
        <w:rPr>
          <w:rFonts w:ascii="Century Gothic" w:eastAsia="IBM Plex Sans" w:hAnsi="Century Gothic" w:cs="Arial"/>
          <w:sz w:val="22"/>
          <w:szCs w:val="21"/>
        </w:rPr>
        <w:t xml:space="preserve"> with domain expertise in SNAP, TANF, and Medicaid to enhance test coverage for county and call center operations.</w:t>
      </w:r>
    </w:p>
    <w:p w14:paraId="1E39F7E7" w14:textId="77777777" w:rsidR="005959CB" w:rsidRPr="005959CB" w:rsidRDefault="005959CB" w:rsidP="00240AB3">
      <w:pPr>
        <w:pStyle w:val="NormalWeb"/>
        <w:spacing w:before="0" w:after="0"/>
        <w:ind w:left="1440"/>
        <w:rPr>
          <w:rFonts w:ascii="Century Gothic" w:eastAsia="IBM Plex Sans" w:hAnsi="Century Gothic" w:cs="Arial"/>
          <w:sz w:val="22"/>
          <w:szCs w:val="21"/>
        </w:rPr>
      </w:pPr>
    </w:p>
    <w:p w14:paraId="7B9B130C" w14:textId="77777777" w:rsidR="001036E0" w:rsidRPr="005959CB" w:rsidRDefault="001036E0" w:rsidP="00240AB3">
      <w:pPr>
        <w:pStyle w:val="NormalWeb"/>
        <w:spacing w:before="0" w:after="0"/>
        <w:ind w:left="720"/>
        <w:rPr>
          <w:rFonts w:ascii="Century Gothic" w:eastAsia="IBM Plex Sans" w:hAnsi="Century Gothic" w:cs="Arial"/>
          <w:sz w:val="22"/>
          <w:szCs w:val="21"/>
        </w:rPr>
      </w:pPr>
      <w:r w:rsidRPr="005959CB">
        <w:rPr>
          <w:rFonts w:ascii="Century Gothic" w:eastAsia="IBM Plex Sans" w:hAnsi="Century Gothic" w:cs="Arial"/>
          <w:b/>
          <w:bCs/>
          <w:sz w:val="22"/>
          <w:szCs w:val="21"/>
        </w:rPr>
        <w:t>Outcomes and Impact:</w:t>
      </w:r>
    </w:p>
    <w:p w14:paraId="07369F2F" w14:textId="77777777" w:rsidR="001036E0" w:rsidRPr="005959CB" w:rsidRDefault="001036E0" w:rsidP="00CF7600">
      <w:pPr>
        <w:pStyle w:val="NormalWeb"/>
        <w:numPr>
          <w:ilvl w:val="0"/>
          <w:numId w:val="42"/>
        </w:numPr>
        <w:tabs>
          <w:tab w:val="clear" w:pos="720"/>
          <w:tab w:val="num" w:pos="1440"/>
        </w:tabs>
        <w:spacing w:before="0" w:after="0"/>
        <w:ind w:left="1440"/>
        <w:rPr>
          <w:rFonts w:ascii="Century Gothic" w:eastAsia="IBM Plex Sans" w:hAnsi="Century Gothic" w:cs="Arial"/>
          <w:sz w:val="22"/>
          <w:szCs w:val="21"/>
        </w:rPr>
      </w:pPr>
      <w:r w:rsidRPr="005959CB">
        <w:rPr>
          <w:rFonts w:ascii="Century Gothic" w:eastAsia="IBM Plex Sans" w:hAnsi="Century Gothic" w:cs="Arial"/>
          <w:b/>
          <w:bCs/>
          <w:sz w:val="22"/>
          <w:szCs w:val="21"/>
        </w:rPr>
        <w:t>Maintained &lt;1% Production Defect Leakage:</w:t>
      </w:r>
      <w:r w:rsidRPr="005959CB">
        <w:rPr>
          <w:rFonts w:ascii="Century Gothic" w:eastAsia="IBM Plex Sans" w:hAnsi="Century Gothic" w:cs="Arial"/>
          <w:sz w:val="22"/>
          <w:szCs w:val="21"/>
        </w:rPr>
        <w:t xml:space="preserve"> Rigorous risk-based testing and early defect detection prevented critical issues from reaching production despite a fourfold increase in workload.</w:t>
      </w:r>
    </w:p>
    <w:p w14:paraId="5585903C" w14:textId="77777777" w:rsidR="001036E0" w:rsidRPr="005959CB" w:rsidRDefault="001036E0" w:rsidP="00CF7600">
      <w:pPr>
        <w:pStyle w:val="NormalWeb"/>
        <w:numPr>
          <w:ilvl w:val="0"/>
          <w:numId w:val="42"/>
        </w:numPr>
        <w:tabs>
          <w:tab w:val="clear" w:pos="720"/>
          <w:tab w:val="num" w:pos="1440"/>
        </w:tabs>
        <w:spacing w:before="0" w:after="0"/>
        <w:ind w:left="1440"/>
        <w:rPr>
          <w:rFonts w:ascii="Century Gothic" w:eastAsia="IBM Plex Sans" w:hAnsi="Century Gothic" w:cs="Arial"/>
          <w:sz w:val="22"/>
          <w:szCs w:val="21"/>
        </w:rPr>
      </w:pPr>
      <w:r w:rsidRPr="005959CB">
        <w:rPr>
          <w:rFonts w:ascii="Century Gothic" w:eastAsia="IBM Plex Sans" w:hAnsi="Century Gothic" w:cs="Arial"/>
          <w:b/>
          <w:bCs/>
          <w:sz w:val="22"/>
          <w:szCs w:val="21"/>
        </w:rPr>
        <w:t>Delivered 100% of Releases On Schedule:</w:t>
      </w:r>
      <w:r w:rsidRPr="005959CB">
        <w:rPr>
          <w:rFonts w:ascii="Century Gothic" w:eastAsia="IBM Plex Sans" w:hAnsi="Century Gothic" w:cs="Arial"/>
          <w:sz w:val="22"/>
          <w:szCs w:val="21"/>
        </w:rPr>
        <w:t xml:space="preserve"> IBM’s re-engineered QA approach maintained delivery predictability even during surges, safeguarding benefits continuity for millions of Floridians.</w:t>
      </w:r>
    </w:p>
    <w:p w14:paraId="7FFB368B" w14:textId="24B1FB7E" w:rsidR="001036E0" w:rsidRPr="005959CB" w:rsidRDefault="001036E0" w:rsidP="00CF7600">
      <w:pPr>
        <w:pStyle w:val="NormalWeb"/>
        <w:numPr>
          <w:ilvl w:val="0"/>
          <w:numId w:val="42"/>
        </w:numPr>
        <w:tabs>
          <w:tab w:val="clear" w:pos="720"/>
          <w:tab w:val="num" w:pos="1440"/>
        </w:tabs>
        <w:spacing w:before="0" w:after="0"/>
        <w:ind w:left="1440"/>
        <w:rPr>
          <w:rFonts w:ascii="Century Gothic" w:eastAsia="IBM Plex Sans" w:hAnsi="Century Gothic" w:cs="Arial"/>
          <w:sz w:val="22"/>
          <w:szCs w:val="21"/>
        </w:rPr>
      </w:pPr>
      <w:r w:rsidRPr="005959CB">
        <w:rPr>
          <w:rFonts w:ascii="Century Gothic" w:eastAsia="IBM Plex Sans" w:hAnsi="Century Gothic" w:cs="Arial"/>
          <w:b/>
          <w:bCs/>
          <w:sz w:val="22"/>
          <w:szCs w:val="21"/>
        </w:rPr>
        <w:t>Improved Stakeholder Confidence:</w:t>
      </w:r>
      <w:r w:rsidRPr="005959CB">
        <w:rPr>
          <w:rFonts w:ascii="Century Gothic" w:eastAsia="IBM Plex Sans" w:hAnsi="Century Gothic" w:cs="Arial"/>
          <w:sz w:val="22"/>
          <w:szCs w:val="21"/>
        </w:rPr>
        <w:t xml:space="preserve"> Transparent QA dashboards and early warning metrics gave DCF leadership real-time visibility into system readiness enabling proactive decision-making and reducing escalations.</w:t>
      </w:r>
    </w:p>
    <w:p w14:paraId="63687026" w14:textId="77777777" w:rsidR="001036E0" w:rsidRDefault="001036E0" w:rsidP="00CF7600">
      <w:pPr>
        <w:pStyle w:val="NormalWeb"/>
        <w:numPr>
          <w:ilvl w:val="0"/>
          <w:numId w:val="42"/>
        </w:numPr>
        <w:tabs>
          <w:tab w:val="clear" w:pos="720"/>
          <w:tab w:val="num" w:pos="1440"/>
        </w:tabs>
        <w:spacing w:before="0" w:after="0"/>
        <w:ind w:left="1440"/>
        <w:rPr>
          <w:rFonts w:ascii="Century Gothic" w:eastAsia="IBM Plex Sans" w:hAnsi="Century Gothic" w:cs="Arial"/>
          <w:sz w:val="22"/>
          <w:szCs w:val="21"/>
        </w:rPr>
      </w:pPr>
      <w:r w:rsidRPr="005959CB">
        <w:rPr>
          <w:rFonts w:ascii="Century Gothic" w:eastAsia="IBM Plex Sans" w:hAnsi="Century Gothic" w:cs="Arial"/>
          <w:b/>
          <w:bCs/>
          <w:sz w:val="22"/>
          <w:szCs w:val="21"/>
        </w:rPr>
        <w:t>Enhanced Operational Stability:</w:t>
      </w:r>
      <w:r w:rsidRPr="005959CB">
        <w:rPr>
          <w:rFonts w:ascii="Century Gothic" w:eastAsia="IBM Plex Sans" w:hAnsi="Century Gothic" w:cs="Arial"/>
          <w:sz w:val="22"/>
          <w:szCs w:val="21"/>
        </w:rPr>
        <w:t xml:space="preserve"> Post-release analytics showed a </w:t>
      </w:r>
      <w:r w:rsidRPr="005959CB">
        <w:rPr>
          <w:rFonts w:ascii="Century Gothic" w:eastAsia="IBM Plex Sans" w:hAnsi="Century Gothic" w:cs="Arial"/>
          <w:b/>
          <w:bCs/>
          <w:sz w:val="22"/>
          <w:szCs w:val="21"/>
        </w:rPr>
        <w:t>25% reduction in support tickets</w:t>
      </w:r>
      <w:r w:rsidRPr="005959CB">
        <w:rPr>
          <w:rFonts w:ascii="Century Gothic" w:eastAsia="IBM Plex Sans" w:hAnsi="Century Gothic" w:cs="Arial"/>
          <w:sz w:val="22"/>
          <w:szCs w:val="21"/>
        </w:rPr>
        <w:t>, confirming measurable improvements in system reliability and end-user satisfaction.</w:t>
      </w:r>
    </w:p>
    <w:p w14:paraId="38A3532C" w14:textId="72DEF8C7" w:rsidR="001036E0" w:rsidRPr="005959CB" w:rsidRDefault="001036E0" w:rsidP="005959CB">
      <w:pPr>
        <w:pStyle w:val="NormalWeb"/>
        <w:spacing w:before="0" w:after="0"/>
        <w:rPr>
          <w:rFonts w:ascii="Century Gothic" w:eastAsia="IBM Plex Sans" w:hAnsi="Century Gothic" w:cs="Arial"/>
          <w:sz w:val="22"/>
          <w:szCs w:val="21"/>
        </w:rPr>
      </w:pPr>
      <w:r w:rsidRPr="005959CB">
        <w:rPr>
          <w:rFonts w:ascii="Century Gothic" w:eastAsia="IBM Plex Sans" w:hAnsi="Century Gothic" w:cs="Arial"/>
          <w:sz w:val="22"/>
          <w:szCs w:val="21"/>
        </w:rPr>
        <w:br/>
        <w:t xml:space="preserve">CalSAWS faces similar pressures legislative mandates, high transaction volumes, and </w:t>
      </w:r>
      <w:r w:rsidRPr="005959CB">
        <w:rPr>
          <w:rFonts w:ascii="Century Gothic" w:eastAsia="IBM Plex Sans" w:hAnsi="Century Gothic" w:cs="Arial"/>
          <w:sz w:val="22"/>
          <w:szCs w:val="21"/>
        </w:rPr>
        <w:lastRenderedPageBreak/>
        <w:t>integration across multiple programs. IBM’s success with Florida DCF demonstrates our ability to maintain quality, schedule, and stakeholder confidence even under extreme workload surges, providing a tested model for sustained QA performance in complex HHS systems.</w:t>
      </w:r>
    </w:p>
    <w:p w14:paraId="5618F7F8" w14:textId="77777777" w:rsidR="00D70359" w:rsidRDefault="00D70359" w:rsidP="00D70359">
      <w:pPr>
        <w:pStyle w:val="CS-IBMBullet1"/>
        <w:numPr>
          <w:ilvl w:val="0"/>
          <w:numId w:val="0"/>
        </w:numPr>
      </w:pPr>
    </w:p>
    <w:p w14:paraId="2B0C3947" w14:textId="2BC23FDE" w:rsidR="00C20CC5" w:rsidRPr="00AA4A1C" w:rsidRDefault="00D70359" w:rsidP="00D70359">
      <w:pPr>
        <w:pStyle w:val="CS-IBMBullet1"/>
        <w:numPr>
          <w:ilvl w:val="0"/>
          <w:numId w:val="0"/>
        </w:numPr>
        <w:rPr>
          <w:color w:val="0070C0"/>
          <w:sz w:val="28"/>
          <w:szCs w:val="28"/>
        </w:rPr>
      </w:pPr>
      <w:r w:rsidRPr="00AA4A1C">
        <w:rPr>
          <w:color w:val="0070C0"/>
          <w:sz w:val="28"/>
          <w:szCs w:val="28"/>
        </w:rPr>
        <w:t>Metrics and Tangible Outcomes</w:t>
      </w:r>
    </w:p>
    <w:p w14:paraId="7974450C" w14:textId="717FFC48" w:rsidR="00BB0919" w:rsidRDefault="00322674" w:rsidP="00BB0919">
      <w:pPr>
        <w:pStyle w:val="Caption"/>
        <w:keepNext/>
        <w:jc w:val="center"/>
      </w:pPr>
      <w:r>
        <w:br/>
      </w:r>
      <w:bookmarkStart w:id="21" w:name="_Toc213069326"/>
      <w:r w:rsidR="00BB0919">
        <w:t xml:space="preserve">Table 4.1.2. </w:t>
      </w:r>
      <w:r w:rsidR="00BB0919">
        <w:fldChar w:fldCharType="begin"/>
      </w:r>
      <w:r w:rsidR="00BB0919">
        <w:instrText xml:space="preserve"> SEQ Table_4.1.2. \* ARABIC </w:instrText>
      </w:r>
      <w:r w:rsidR="00BB0919">
        <w:fldChar w:fldCharType="separate"/>
      </w:r>
      <w:r w:rsidR="006C000B">
        <w:rPr>
          <w:noProof/>
        </w:rPr>
        <w:t>3</w:t>
      </w:r>
      <w:r w:rsidR="00BB0919">
        <w:fldChar w:fldCharType="end"/>
      </w:r>
      <w:r w:rsidR="00BB0919">
        <w:t xml:space="preserve"> </w:t>
      </w:r>
      <w:r w:rsidR="00BB0919" w:rsidRPr="009A6381">
        <w:t>Florida DCF Metrics and T</w:t>
      </w:r>
      <w:r w:rsidR="00BB0919">
        <w:t>a</w:t>
      </w:r>
      <w:r w:rsidR="00BB0919" w:rsidRPr="009A6381">
        <w:t>ngible O</w:t>
      </w:r>
      <w:r w:rsidR="00BB0919">
        <w:t>u</w:t>
      </w:r>
      <w:r w:rsidR="00BB0919" w:rsidRPr="009A6381">
        <w:t>tcomes</w:t>
      </w:r>
      <w:bookmarkEnd w:id="21"/>
    </w:p>
    <w:tbl>
      <w:tblPr>
        <w:tblW w:w="9895" w:type="dxa"/>
        <w:tblBorders>
          <w:top w:val="single" w:sz="4" w:space="0" w:color="7FDBFF" w:themeColor="accent2" w:themeTint="66"/>
          <w:left w:val="single" w:sz="4" w:space="0" w:color="7FDBFF" w:themeColor="accent2" w:themeTint="66"/>
          <w:bottom w:val="single" w:sz="4" w:space="0" w:color="7FDBFF" w:themeColor="accent2" w:themeTint="66"/>
          <w:right w:val="single" w:sz="4" w:space="0" w:color="7FDBFF" w:themeColor="accent2" w:themeTint="66"/>
          <w:insideH w:val="single" w:sz="4" w:space="0" w:color="7FDBFF" w:themeColor="accent2" w:themeTint="66"/>
          <w:insideV w:val="single" w:sz="4" w:space="0" w:color="7FDBFF" w:themeColor="accent2" w:themeTint="66"/>
        </w:tblBorders>
        <w:tblLook w:val="04A0" w:firstRow="1" w:lastRow="0" w:firstColumn="1" w:lastColumn="0" w:noHBand="0" w:noVBand="1"/>
      </w:tblPr>
      <w:tblGrid>
        <w:gridCol w:w="1615"/>
        <w:gridCol w:w="3780"/>
        <w:gridCol w:w="4500"/>
      </w:tblGrid>
      <w:tr w:rsidR="00E42DAE" w:rsidRPr="003C6D09" w14:paraId="6854D537" w14:textId="77777777" w:rsidTr="000C7BF6">
        <w:trPr>
          <w:trHeight w:val="340"/>
        </w:trPr>
        <w:tc>
          <w:tcPr>
            <w:tcW w:w="1615" w:type="dxa"/>
            <w:shd w:val="clear" w:color="auto" w:fill="BFEDFF" w:themeFill="accent2" w:themeFillTint="33"/>
            <w:hideMark/>
          </w:tcPr>
          <w:p w14:paraId="001E568A" w14:textId="77777777" w:rsidR="00A42500" w:rsidRPr="000C7BF6" w:rsidRDefault="00A42500" w:rsidP="00A42500">
            <w:pPr>
              <w:spacing w:before="0" w:after="0"/>
              <w:rPr>
                <w:rFonts w:eastAsia="IBM Plex Sans" w:cs="Arial"/>
                <w:b/>
                <w:bCs/>
                <w:color w:val="00678F" w:themeColor="accent2" w:themeShade="BF"/>
                <w:sz w:val="20"/>
                <w:szCs w:val="20"/>
              </w:rPr>
            </w:pPr>
            <w:r w:rsidRPr="000C7BF6">
              <w:rPr>
                <w:rFonts w:eastAsia="IBM Plex Sans" w:cs="Arial"/>
                <w:b/>
                <w:bCs/>
                <w:color w:val="00678F" w:themeColor="accent2" w:themeShade="BF"/>
                <w:sz w:val="20"/>
                <w:szCs w:val="20"/>
              </w:rPr>
              <w:t>Focus Area</w:t>
            </w:r>
          </w:p>
        </w:tc>
        <w:tc>
          <w:tcPr>
            <w:tcW w:w="3780" w:type="dxa"/>
            <w:shd w:val="clear" w:color="auto" w:fill="BFEDFF" w:themeFill="accent2" w:themeFillTint="33"/>
            <w:hideMark/>
          </w:tcPr>
          <w:p w14:paraId="26EAAA40" w14:textId="77777777" w:rsidR="00A42500" w:rsidRPr="000C7BF6" w:rsidRDefault="00A42500" w:rsidP="00A42500">
            <w:pPr>
              <w:spacing w:before="0" w:after="0"/>
              <w:rPr>
                <w:rFonts w:eastAsia="IBM Plex Sans" w:cs="Arial"/>
                <w:b/>
                <w:bCs/>
                <w:color w:val="00678F" w:themeColor="accent2" w:themeShade="BF"/>
                <w:sz w:val="20"/>
                <w:szCs w:val="20"/>
              </w:rPr>
            </w:pPr>
            <w:r w:rsidRPr="000C7BF6">
              <w:rPr>
                <w:rFonts w:eastAsia="IBM Plex Sans" w:cs="Arial"/>
                <w:b/>
                <w:bCs/>
                <w:color w:val="00678F" w:themeColor="accent2" w:themeShade="BF"/>
                <w:sz w:val="20"/>
                <w:szCs w:val="20"/>
              </w:rPr>
              <w:t>Result Achieved</w:t>
            </w:r>
          </w:p>
        </w:tc>
        <w:tc>
          <w:tcPr>
            <w:tcW w:w="4500" w:type="dxa"/>
            <w:shd w:val="clear" w:color="auto" w:fill="BFEDFF" w:themeFill="accent2" w:themeFillTint="33"/>
            <w:hideMark/>
          </w:tcPr>
          <w:p w14:paraId="139222FC" w14:textId="77777777" w:rsidR="00A42500" w:rsidRPr="000C7BF6" w:rsidRDefault="00A42500" w:rsidP="00A42500">
            <w:pPr>
              <w:spacing w:before="0" w:after="0"/>
              <w:rPr>
                <w:rFonts w:eastAsia="IBM Plex Sans" w:cs="Arial"/>
                <w:b/>
                <w:bCs/>
                <w:color w:val="00678F" w:themeColor="accent2" w:themeShade="BF"/>
                <w:sz w:val="20"/>
                <w:szCs w:val="20"/>
              </w:rPr>
            </w:pPr>
            <w:r w:rsidRPr="000C7BF6">
              <w:rPr>
                <w:rFonts w:eastAsia="IBM Plex Sans" w:cs="Arial"/>
                <w:b/>
                <w:bCs/>
                <w:color w:val="00678F" w:themeColor="accent2" w:themeShade="BF"/>
                <w:sz w:val="20"/>
                <w:szCs w:val="20"/>
              </w:rPr>
              <w:t>Why It Matters for CalSAWS</w:t>
            </w:r>
          </w:p>
        </w:tc>
      </w:tr>
      <w:tr w:rsidR="006E110E" w:rsidRPr="003C6D09" w14:paraId="149B7B43" w14:textId="77777777" w:rsidTr="000C7BF6">
        <w:trPr>
          <w:trHeight w:val="1020"/>
        </w:trPr>
        <w:tc>
          <w:tcPr>
            <w:tcW w:w="1615" w:type="dxa"/>
            <w:shd w:val="clear" w:color="auto" w:fill="BFEDFF" w:themeFill="accent2" w:themeFillTint="33"/>
            <w:hideMark/>
          </w:tcPr>
          <w:p w14:paraId="19849D9D" w14:textId="77777777" w:rsidR="00A42500" w:rsidRPr="000C7BF6" w:rsidRDefault="00A42500" w:rsidP="00A42500">
            <w:pPr>
              <w:spacing w:before="0" w:after="0"/>
              <w:rPr>
                <w:rFonts w:eastAsia="IBM Plex Sans" w:cs="Arial"/>
                <w:b/>
                <w:bCs/>
                <w:color w:val="00678F" w:themeColor="accent2" w:themeShade="BF"/>
                <w:sz w:val="20"/>
                <w:szCs w:val="20"/>
              </w:rPr>
            </w:pPr>
            <w:r w:rsidRPr="000C7BF6">
              <w:rPr>
                <w:rFonts w:eastAsia="IBM Plex Sans" w:cs="Arial"/>
                <w:b/>
                <w:bCs/>
                <w:color w:val="00678F" w:themeColor="accent2" w:themeShade="BF"/>
                <w:sz w:val="20"/>
                <w:szCs w:val="20"/>
              </w:rPr>
              <w:t>Scalability</w:t>
            </w:r>
          </w:p>
        </w:tc>
        <w:tc>
          <w:tcPr>
            <w:tcW w:w="3780" w:type="dxa"/>
            <w:hideMark/>
          </w:tcPr>
          <w:p w14:paraId="0F9F4277" w14:textId="77777777" w:rsidR="00A42500" w:rsidRPr="003C6D09" w:rsidRDefault="00A42500" w:rsidP="00A42500">
            <w:pPr>
              <w:spacing w:before="0" w:after="0"/>
              <w:rPr>
                <w:rFonts w:eastAsia="IBM Plex Sans" w:cs="Arial"/>
                <w:sz w:val="20"/>
                <w:szCs w:val="20"/>
              </w:rPr>
            </w:pPr>
            <w:r w:rsidRPr="003C6D09">
              <w:rPr>
                <w:rFonts w:eastAsia="IBM Plex Sans" w:cs="Arial"/>
                <w:sz w:val="20"/>
                <w:szCs w:val="20"/>
              </w:rPr>
              <w:t>IBM increased QA staffing by 30–40% within four weeks using our U.S.–based Client Innovation Centers (CICs).</w:t>
            </w:r>
          </w:p>
        </w:tc>
        <w:tc>
          <w:tcPr>
            <w:tcW w:w="4500" w:type="dxa"/>
            <w:hideMark/>
          </w:tcPr>
          <w:p w14:paraId="6BC58C12" w14:textId="77777777" w:rsidR="00A42500" w:rsidRPr="003C6D09" w:rsidRDefault="00A42500" w:rsidP="00A42500">
            <w:pPr>
              <w:spacing w:before="0" w:after="0"/>
              <w:rPr>
                <w:rFonts w:eastAsia="IBM Plex Sans" w:cs="Arial"/>
                <w:sz w:val="20"/>
                <w:szCs w:val="20"/>
              </w:rPr>
            </w:pPr>
            <w:r w:rsidRPr="003C6D09">
              <w:rPr>
                <w:rFonts w:eastAsia="IBM Plex Sans" w:cs="Arial"/>
                <w:sz w:val="20"/>
                <w:szCs w:val="20"/>
              </w:rPr>
              <w:t>Demonstrates IBM’s ability to rapidly respond to new policy mandates, system releases, or legislative changes without delays in testing or service continuity.</w:t>
            </w:r>
          </w:p>
        </w:tc>
      </w:tr>
      <w:tr w:rsidR="006E110E" w:rsidRPr="003C6D09" w14:paraId="5873DE14" w14:textId="77777777" w:rsidTr="000C7BF6">
        <w:trPr>
          <w:trHeight w:val="680"/>
        </w:trPr>
        <w:tc>
          <w:tcPr>
            <w:tcW w:w="1615" w:type="dxa"/>
            <w:shd w:val="clear" w:color="auto" w:fill="BFEDFF" w:themeFill="accent2" w:themeFillTint="33"/>
            <w:hideMark/>
          </w:tcPr>
          <w:p w14:paraId="2BD48266" w14:textId="77777777" w:rsidR="00A42500" w:rsidRPr="000C7BF6" w:rsidRDefault="00A42500" w:rsidP="00A42500">
            <w:pPr>
              <w:spacing w:before="0" w:after="0"/>
              <w:rPr>
                <w:rFonts w:eastAsia="IBM Plex Sans" w:cs="Arial"/>
                <w:b/>
                <w:bCs/>
                <w:color w:val="00678F" w:themeColor="accent2" w:themeShade="BF"/>
                <w:sz w:val="20"/>
                <w:szCs w:val="20"/>
              </w:rPr>
            </w:pPr>
            <w:r w:rsidRPr="000C7BF6">
              <w:rPr>
                <w:rFonts w:eastAsia="IBM Plex Sans" w:cs="Arial"/>
                <w:b/>
                <w:bCs/>
                <w:color w:val="00678F" w:themeColor="accent2" w:themeShade="BF"/>
                <w:sz w:val="20"/>
                <w:szCs w:val="20"/>
              </w:rPr>
              <w:t>Team Stability</w:t>
            </w:r>
          </w:p>
        </w:tc>
        <w:tc>
          <w:tcPr>
            <w:tcW w:w="3780" w:type="dxa"/>
            <w:hideMark/>
          </w:tcPr>
          <w:p w14:paraId="129B3A5B" w14:textId="77777777" w:rsidR="00A42500" w:rsidRPr="003C6D09" w:rsidRDefault="00A42500" w:rsidP="00A42500">
            <w:pPr>
              <w:spacing w:before="0" w:after="0"/>
              <w:rPr>
                <w:rFonts w:eastAsia="IBM Plex Sans" w:cs="Arial"/>
                <w:sz w:val="20"/>
                <w:szCs w:val="20"/>
              </w:rPr>
            </w:pPr>
            <w:r w:rsidRPr="003C6D09">
              <w:rPr>
                <w:rFonts w:eastAsia="IBM Plex Sans" w:cs="Arial"/>
                <w:sz w:val="20"/>
                <w:szCs w:val="20"/>
              </w:rPr>
              <w:t>Maintained over 95% staff retention in core onsite leadership and QA management roles.</w:t>
            </w:r>
          </w:p>
        </w:tc>
        <w:tc>
          <w:tcPr>
            <w:tcW w:w="4500" w:type="dxa"/>
            <w:hideMark/>
          </w:tcPr>
          <w:p w14:paraId="681A6A7B" w14:textId="77777777" w:rsidR="00A42500" w:rsidRPr="003C6D09" w:rsidRDefault="00A42500" w:rsidP="00A42500">
            <w:pPr>
              <w:spacing w:before="0" w:after="0"/>
              <w:rPr>
                <w:rFonts w:eastAsia="IBM Plex Sans" w:cs="Arial"/>
                <w:sz w:val="20"/>
                <w:szCs w:val="20"/>
              </w:rPr>
            </w:pPr>
            <w:r w:rsidRPr="003C6D09">
              <w:rPr>
                <w:rFonts w:eastAsia="IBM Plex Sans" w:cs="Arial"/>
                <w:sz w:val="20"/>
                <w:szCs w:val="20"/>
              </w:rPr>
              <w:t>Ensures knowledge continuity, reduces onboarding time, and preserves consistent quality and communication with the Consortium and counties.</w:t>
            </w:r>
          </w:p>
        </w:tc>
      </w:tr>
      <w:tr w:rsidR="006E110E" w:rsidRPr="003C6D09" w14:paraId="5319E338" w14:textId="77777777" w:rsidTr="000C7BF6">
        <w:trPr>
          <w:trHeight w:val="680"/>
        </w:trPr>
        <w:tc>
          <w:tcPr>
            <w:tcW w:w="1615" w:type="dxa"/>
            <w:shd w:val="clear" w:color="auto" w:fill="BFEDFF" w:themeFill="accent2" w:themeFillTint="33"/>
            <w:hideMark/>
          </w:tcPr>
          <w:p w14:paraId="701B8698" w14:textId="77777777" w:rsidR="00A42500" w:rsidRPr="000C7BF6" w:rsidRDefault="00A42500" w:rsidP="00A42500">
            <w:pPr>
              <w:spacing w:before="0" w:after="0"/>
              <w:rPr>
                <w:rFonts w:eastAsia="IBM Plex Sans" w:cs="Arial"/>
                <w:b/>
                <w:bCs/>
                <w:color w:val="00678F" w:themeColor="accent2" w:themeShade="BF"/>
                <w:sz w:val="20"/>
                <w:szCs w:val="20"/>
              </w:rPr>
            </w:pPr>
            <w:r w:rsidRPr="000C7BF6">
              <w:rPr>
                <w:rFonts w:eastAsia="IBM Plex Sans" w:cs="Arial"/>
                <w:b/>
                <w:bCs/>
                <w:color w:val="00678F" w:themeColor="accent2" w:themeShade="BF"/>
                <w:sz w:val="20"/>
                <w:szCs w:val="20"/>
              </w:rPr>
              <w:t>Testing Efficiency</w:t>
            </w:r>
          </w:p>
        </w:tc>
        <w:tc>
          <w:tcPr>
            <w:tcW w:w="3780" w:type="dxa"/>
            <w:hideMark/>
          </w:tcPr>
          <w:p w14:paraId="6B07738C" w14:textId="77777777" w:rsidR="00A42500" w:rsidRPr="003C6D09" w:rsidRDefault="00A42500" w:rsidP="00A42500">
            <w:pPr>
              <w:spacing w:before="0" w:after="0"/>
              <w:rPr>
                <w:rFonts w:eastAsia="IBM Plex Sans" w:cs="Arial"/>
                <w:sz w:val="20"/>
                <w:szCs w:val="20"/>
              </w:rPr>
            </w:pPr>
            <w:r w:rsidRPr="003C6D09">
              <w:rPr>
                <w:rFonts w:eastAsia="IBM Plex Sans" w:cs="Arial"/>
                <w:sz w:val="20"/>
                <w:szCs w:val="20"/>
              </w:rPr>
              <w:t>Regression testing time reduced by 25–40% through advanced automation and optimized test suites.</w:t>
            </w:r>
          </w:p>
        </w:tc>
        <w:tc>
          <w:tcPr>
            <w:tcW w:w="4500" w:type="dxa"/>
            <w:hideMark/>
          </w:tcPr>
          <w:p w14:paraId="17E8A54B" w14:textId="77777777" w:rsidR="00A42500" w:rsidRPr="003C6D09" w:rsidRDefault="00A42500" w:rsidP="00A42500">
            <w:pPr>
              <w:spacing w:before="0" w:after="0"/>
              <w:rPr>
                <w:rFonts w:eastAsia="IBM Plex Sans" w:cs="Arial"/>
                <w:sz w:val="20"/>
                <w:szCs w:val="20"/>
              </w:rPr>
            </w:pPr>
            <w:r w:rsidRPr="003C6D09">
              <w:rPr>
                <w:rFonts w:eastAsia="IBM Plex Sans" w:cs="Arial"/>
                <w:sz w:val="20"/>
                <w:szCs w:val="20"/>
              </w:rPr>
              <w:t>Allows faster release approvals, fewer disruptions to county operations, and quicker delivery of benefit updates to Californians.</w:t>
            </w:r>
          </w:p>
        </w:tc>
      </w:tr>
      <w:tr w:rsidR="006E110E" w:rsidRPr="003C6D09" w14:paraId="5277D91D" w14:textId="77777777" w:rsidTr="000C7BF6">
        <w:trPr>
          <w:trHeight w:val="680"/>
        </w:trPr>
        <w:tc>
          <w:tcPr>
            <w:tcW w:w="1615" w:type="dxa"/>
            <w:shd w:val="clear" w:color="auto" w:fill="BFEDFF" w:themeFill="accent2" w:themeFillTint="33"/>
            <w:hideMark/>
          </w:tcPr>
          <w:p w14:paraId="232EC54B" w14:textId="77777777" w:rsidR="00A42500" w:rsidRPr="000C7BF6" w:rsidRDefault="00A42500" w:rsidP="00A42500">
            <w:pPr>
              <w:spacing w:before="0" w:after="0"/>
              <w:rPr>
                <w:rFonts w:eastAsia="IBM Plex Sans" w:cs="Arial"/>
                <w:b/>
                <w:bCs/>
                <w:color w:val="00678F" w:themeColor="accent2" w:themeShade="BF"/>
                <w:sz w:val="20"/>
                <w:szCs w:val="20"/>
              </w:rPr>
            </w:pPr>
            <w:r w:rsidRPr="000C7BF6">
              <w:rPr>
                <w:rFonts w:eastAsia="IBM Plex Sans" w:cs="Arial"/>
                <w:b/>
                <w:bCs/>
                <w:color w:val="00678F" w:themeColor="accent2" w:themeShade="BF"/>
                <w:sz w:val="20"/>
                <w:szCs w:val="20"/>
              </w:rPr>
              <w:t>Cost Optimization</w:t>
            </w:r>
          </w:p>
        </w:tc>
        <w:tc>
          <w:tcPr>
            <w:tcW w:w="3780" w:type="dxa"/>
            <w:hideMark/>
          </w:tcPr>
          <w:p w14:paraId="5453A1F1" w14:textId="77777777" w:rsidR="00A42500" w:rsidRPr="003C6D09" w:rsidRDefault="00A42500" w:rsidP="00A42500">
            <w:pPr>
              <w:spacing w:before="0" w:after="0"/>
              <w:rPr>
                <w:rFonts w:eastAsia="IBM Plex Sans" w:cs="Arial"/>
                <w:sz w:val="20"/>
                <w:szCs w:val="20"/>
              </w:rPr>
            </w:pPr>
            <w:r w:rsidRPr="003C6D09">
              <w:rPr>
                <w:rFonts w:eastAsia="IBM Plex Sans" w:cs="Arial"/>
                <w:sz w:val="20"/>
                <w:szCs w:val="20"/>
              </w:rPr>
              <w:t>Delivered over 15% total cost savings by adopting a hybrid staffing model (30% onsite / 70% nearshore) over six years.</w:t>
            </w:r>
          </w:p>
        </w:tc>
        <w:tc>
          <w:tcPr>
            <w:tcW w:w="4500" w:type="dxa"/>
            <w:hideMark/>
          </w:tcPr>
          <w:p w14:paraId="27787045" w14:textId="77777777" w:rsidR="00A42500" w:rsidRPr="003C6D09" w:rsidRDefault="00A42500" w:rsidP="00A42500">
            <w:pPr>
              <w:spacing w:before="0" w:after="0"/>
              <w:rPr>
                <w:rFonts w:eastAsia="IBM Plex Sans" w:cs="Arial"/>
                <w:sz w:val="20"/>
                <w:szCs w:val="20"/>
              </w:rPr>
            </w:pPr>
            <w:r w:rsidRPr="003C6D09">
              <w:rPr>
                <w:rFonts w:eastAsia="IBM Plex Sans" w:cs="Arial"/>
                <w:sz w:val="20"/>
                <w:szCs w:val="20"/>
              </w:rPr>
              <w:t>Frees up budget for modernization initiatives while maintaining high quality and meeting all program performance standards.</w:t>
            </w:r>
          </w:p>
        </w:tc>
      </w:tr>
    </w:tbl>
    <w:p w14:paraId="48E0A2E9" w14:textId="77777777" w:rsidR="00C20CC5" w:rsidRDefault="00C20CC5" w:rsidP="00C179EB">
      <w:pPr>
        <w:pStyle w:val="CS-IBMBullet1"/>
        <w:numPr>
          <w:ilvl w:val="0"/>
          <w:numId w:val="0"/>
        </w:numPr>
        <w:ind w:left="357" w:hanging="357"/>
      </w:pPr>
    </w:p>
    <w:p w14:paraId="2BD8F24F" w14:textId="77777777" w:rsidR="00491270" w:rsidRPr="00AA4A1C" w:rsidRDefault="00491270" w:rsidP="007E7F97">
      <w:pPr>
        <w:pStyle w:val="CS-IBMResponseText"/>
        <w:spacing w:before="240"/>
        <w:rPr>
          <w:color w:val="0070C0"/>
          <w:sz w:val="28"/>
          <w:szCs w:val="28"/>
        </w:rPr>
      </w:pPr>
      <w:bookmarkStart w:id="22" w:name="_Toc211641146"/>
      <w:r w:rsidRPr="00AA4A1C">
        <w:rPr>
          <w:color w:val="0070C0"/>
          <w:sz w:val="28"/>
          <w:szCs w:val="28"/>
        </w:rPr>
        <w:t>Conclusion</w:t>
      </w:r>
      <w:bookmarkEnd w:id="22"/>
    </w:p>
    <w:p w14:paraId="3CD48748" w14:textId="6F978979" w:rsidR="00491270" w:rsidRPr="00DA0139" w:rsidRDefault="00491270" w:rsidP="007E7F97">
      <w:pPr>
        <w:pStyle w:val="CS-IBMResponseText"/>
      </w:pPr>
      <w:r w:rsidRPr="00DA0139">
        <w:t xml:space="preserve">IBM’s surge staffing model ensures CalSAWS can handle </w:t>
      </w:r>
      <w:r w:rsidR="00BD1C19">
        <w:t>legislative</w:t>
      </w:r>
      <w:r w:rsidR="00341DAF">
        <w:t xml:space="preserve">, </w:t>
      </w:r>
      <w:r w:rsidRPr="00DA0139">
        <w:t>urgent mandates and modernization initiatives with confidence. Key factors include:</w:t>
      </w:r>
    </w:p>
    <w:p w14:paraId="4056B30B" w14:textId="77777777" w:rsidR="00491270" w:rsidRPr="00DA0139" w:rsidRDefault="00491270" w:rsidP="00D73ECC">
      <w:pPr>
        <w:pStyle w:val="CS-IBMBullet1"/>
      </w:pPr>
      <w:r w:rsidRPr="00D73ECC">
        <w:rPr>
          <w:b/>
          <w:bCs/>
        </w:rPr>
        <w:t>Acknowledging Complexity:</w:t>
      </w:r>
      <w:r w:rsidRPr="00DA0139">
        <w:t xml:space="preserve"> CalSAWS is one of the largest integrated eligibility systems in the country, requiring sophisticated QA governance.</w:t>
      </w:r>
    </w:p>
    <w:p w14:paraId="591F7753" w14:textId="77777777" w:rsidR="00491270" w:rsidRPr="00DA0139" w:rsidRDefault="00491270" w:rsidP="00D73ECC">
      <w:pPr>
        <w:pStyle w:val="CS-IBMBullet1"/>
      </w:pPr>
      <w:r w:rsidRPr="00D73ECC">
        <w:rPr>
          <w:b/>
          <w:bCs/>
        </w:rPr>
        <w:t xml:space="preserve">Urgency of Mandates: </w:t>
      </w:r>
      <w:r w:rsidRPr="00DA0139">
        <w:t>Legislative reforms like HR 1 come with immovable deadlines; IBM ensures readiness through surge capacity and predictive planning.</w:t>
      </w:r>
    </w:p>
    <w:p w14:paraId="27318C30" w14:textId="3792A4DE" w:rsidR="00491270" w:rsidRPr="00DA0139" w:rsidRDefault="00491270" w:rsidP="00D73ECC">
      <w:pPr>
        <w:pStyle w:val="CS-IBMBullet1"/>
      </w:pPr>
      <w:r w:rsidRPr="00D73ECC">
        <w:rPr>
          <w:b/>
          <w:bCs/>
        </w:rPr>
        <w:t xml:space="preserve">Multi-Vendor Collaboration: </w:t>
      </w:r>
      <w:r w:rsidRPr="00DA0139">
        <w:t xml:space="preserve">IBM partners with </w:t>
      </w:r>
      <w:r w:rsidR="00341DAF">
        <w:t>the incumbent CalSAWS vendors</w:t>
      </w:r>
      <w:r w:rsidR="00D44994">
        <w:t xml:space="preserve"> (</w:t>
      </w:r>
      <w:r w:rsidRPr="00DA0139">
        <w:t>Deloitte, Gainwell</w:t>
      </w:r>
      <w:r w:rsidR="00CC7C5D">
        <w:t>, BenefitsCal</w:t>
      </w:r>
      <w:r w:rsidR="00D44994">
        <w:t>)</w:t>
      </w:r>
      <w:r w:rsidRPr="00DA0139">
        <w:t>, and the Consortium to coordinate QA across development, infrastructure, and county workflows.</w:t>
      </w:r>
    </w:p>
    <w:p w14:paraId="32DBC988" w14:textId="77777777" w:rsidR="00491270" w:rsidRPr="00DA0139" w:rsidRDefault="00491270" w:rsidP="00D73ECC">
      <w:pPr>
        <w:pStyle w:val="CS-IBMBullet1"/>
      </w:pPr>
      <w:r w:rsidRPr="00D73ECC">
        <w:rPr>
          <w:b/>
          <w:bCs/>
        </w:rPr>
        <w:t xml:space="preserve">QA Excellence: </w:t>
      </w:r>
      <w:r w:rsidRPr="00DA0139">
        <w:t>Through innovation, governance alignment, and surge flexibility, IBM ensures quality is preserved even under pressure.</w:t>
      </w:r>
    </w:p>
    <w:bookmarkEnd w:id="12"/>
    <w:bookmarkEnd w:id="14"/>
    <w:p w14:paraId="24A403E3" w14:textId="05981F77" w:rsidR="007929DB" w:rsidRDefault="007929DB" w:rsidP="00767673">
      <w:pPr>
        <w:pStyle w:val="CS-RFPBodyText"/>
      </w:pPr>
      <w:r>
        <w:br w:type="page"/>
      </w:r>
    </w:p>
    <w:p w14:paraId="3B0402CE" w14:textId="77777777" w:rsidR="00767673" w:rsidRDefault="00767673" w:rsidP="00767673">
      <w:pPr>
        <w:pStyle w:val="Heading2"/>
      </w:pPr>
      <w:bookmarkStart w:id="23" w:name="_Toc213070147"/>
      <w:r w:rsidRPr="00767673">
        <w:lastRenderedPageBreak/>
        <w:t>Integrated Multi-Contractor Environment</w:t>
      </w:r>
      <w:bookmarkEnd w:id="23"/>
    </w:p>
    <w:p w14:paraId="36BDAE70" w14:textId="7589B32F" w:rsidR="000364BA" w:rsidRDefault="0082302C" w:rsidP="000C7BF6">
      <w:pPr>
        <w:pStyle w:val="Heading3"/>
        <w:numPr>
          <w:ilvl w:val="0"/>
          <w:numId w:val="0"/>
        </w:numPr>
        <w:ind w:left="720" w:hanging="720"/>
      </w:pPr>
      <w:bookmarkStart w:id="24" w:name="_Toc213070148"/>
      <w:r>
        <w:t>4.2.1</w:t>
      </w:r>
      <w:r w:rsidR="00AD2340">
        <w:t xml:space="preserve"> </w:t>
      </w:r>
      <w:r w:rsidR="009B12DB" w:rsidRPr="009B12DB">
        <w:t>UA3 – Managing QA Scope and Coordination Across the Multi-Contractor Environment</w:t>
      </w:r>
      <w:bookmarkEnd w:id="24"/>
    </w:p>
    <w:p w14:paraId="565111B3" w14:textId="4BEEF502" w:rsidR="00AD2340" w:rsidRPr="00D44AE9" w:rsidRDefault="00AD2340" w:rsidP="00CF7600">
      <w:pPr>
        <w:pStyle w:val="CS-RFPBodyText"/>
        <w:numPr>
          <w:ilvl w:val="0"/>
          <w:numId w:val="39"/>
        </w:numPr>
        <w:spacing w:before="0" w:after="0"/>
        <w:rPr>
          <w:i/>
          <w:szCs w:val="22"/>
        </w:rPr>
      </w:pPr>
      <w:r w:rsidRPr="00D44AE9">
        <w:rPr>
          <w:i/>
          <w:szCs w:val="22"/>
        </w:rPr>
        <w:t>Describe your approach to managing your scope of work and how you will coordinate with the Consortium and other CalSAWS contractors to ensure understanding and collaborative agreement of the roles and responsibilities of the Consortium and each Contractor.</w:t>
      </w:r>
    </w:p>
    <w:p w14:paraId="4EAE490C" w14:textId="685102AF" w:rsidR="00AD2340" w:rsidRPr="00D44AE9" w:rsidRDefault="00062F76" w:rsidP="00CF7600">
      <w:pPr>
        <w:pStyle w:val="CS-RFPBodyText"/>
        <w:numPr>
          <w:ilvl w:val="0"/>
          <w:numId w:val="39"/>
        </w:numPr>
        <w:spacing w:before="0" w:after="0"/>
        <w:rPr>
          <w:i/>
          <w:szCs w:val="22"/>
        </w:rPr>
      </w:pPr>
      <w:r w:rsidRPr="00D44AE9">
        <w:rPr>
          <w:i/>
          <w:szCs w:val="22"/>
        </w:rPr>
        <w:t>Provide demonstrated examples from previous QA projects as applicable.</w:t>
      </w:r>
    </w:p>
    <w:p w14:paraId="507FE0A6" w14:textId="77777777" w:rsidR="00AA4A1C" w:rsidRDefault="00AA4A1C" w:rsidP="000764CC">
      <w:pPr>
        <w:spacing w:before="120" w:after="120"/>
        <w:rPr>
          <w:rFonts w:cs="Arial"/>
          <w:b/>
          <w:bCs/>
          <w:color w:val="0070C0"/>
          <w:szCs w:val="21"/>
        </w:rPr>
      </w:pPr>
    </w:p>
    <w:p w14:paraId="5FDF5AA7" w14:textId="59A410EE" w:rsidR="000764CC" w:rsidRPr="004C3C17" w:rsidRDefault="000764CC" w:rsidP="000764CC">
      <w:pPr>
        <w:spacing w:before="120" w:after="120"/>
        <w:rPr>
          <w:rFonts w:cs="Arial"/>
          <w:color w:val="0070C0"/>
          <w:sz w:val="28"/>
          <w:szCs w:val="28"/>
        </w:rPr>
      </w:pPr>
      <w:r w:rsidRPr="004C3C17">
        <w:rPr>
          <w:rFonts w:cs="Arial"/>
          <w:color w:val="0070C0"/>
          <w:sz w:val="28"/>
          <w:szCs w:val="28"/>
        </w:rPr>
        <w:t>Introduction</w:t>
      </w:r>
    </w:p>
    <w:p w14:paraId="16A59369" w14:textId="34C11410"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The CalSAWS program represents one of the nation’s most complex and high-impact human-services platforms, serving millions of Californians through programs such as CalWORKs, CalFresh, and Medi-Cal. Its success depends not only on technology, but on the seamless coordination of multiple contractors—including the Maintenance and Enhancement (M&amp;E) contractor, the Infrastructure contractor, and the BenefitsCal contractor—working under the leadership of the CalSAWS Consortium</w:t>
      </w:r>
      <w:r w:rsidR="00EF697D">
        <w:rPr>
          <w:rFonts w:cs="Arial"/>
          <w:color w:val="0D0D0D" w:themeColor="text1" w:themeTint="F2"/>
          <w:szCs w:val="21"/>
        </w:rPr>
        <w:t>, the JPA and PSC</w:t>
      </w:r>
      <w:r w:rsidRPr="000764CC">
        <w:rPr>
          <w:rFonts w:cs="Arial"/>
          <w:color w:val="0D0D0D" w:themeColor="text1" w:themeTint="F2"/>
          <w:szCs w:val="21"/>
        </w:rPr>
        <w:t xml:space="preserve"> and Project Management Office (PMO).</w:t>
      </w:r>
    </w:p>
    <w:p w14:paraId="6914D558"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Recognizing this complexity, the Consortium understands that no single contractor can succeed in isolation. Effective delivery requires proactive collaboration, shared accountability, and a clear, continually validated understanding of roles and responsibilities across every participating organization. When governance, communication, and accountability are aligned, the Consortium can deliver reliable, timely, and equitable access to critical benefits for Californians.</w:t>
      </w:r>
    </w:p>
    <w:p w14:paraId="5F4985A1"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IBM brings proven experience operating within similarly complex, multi-vendor environments—including California MMIS, CWS-CARES, Arizona DES, and Florida DCF—where QA success relied on disciplined coordination among system integrators, operations partners, and state governance bodies. Across these programs, IBM has learned that collaboration and transparency are not abstract principles; they are engineered through structured governance, joint planning, and clear escalation pathways.</w:t>
      </w:r>
    </w:p>
    <w:p w14:paraId="22986A93" w14:textId="7EA3E174"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 xml:space="preserve">For CalSAWS, IBM will operate not merely as a QA contractor, but as a </w:t>
      </w:r>
      <w:r w:rsidRPr="000764CC">
        <w:rPr>
          <w:rFonts w:cs="Arial"/>
          <w:b/>
          <w:bCs/>
          <w:color w:val="0D0D0D" w:themeColor="text1" w:themeTint="F2"/>
          <w:szCs w:val="21"/>
        </w:rPr>
        <w:t>collaborative partner embedded within the Consortium’s PMO governance framework</w:t>
      </w:r>
      <w:r w:rsidRPr="000764CC">
        <w:rPr>
          <w:rFonts w:cs="Arial"/>
          <w:color w:val="0D0D0D" w:themeColor="text1" w:themeTint="F2"/>
          <w:szCs w:val="21"/>
        </w:rPr>
        <w:t>. Our role is to strengthen—not duplicate—existing governance by ensuring that all parties – the Consortium, Deloitte (M&amp;E), Gainwell (Infrastructure</w:t>
      </w:r>
      <w:r w:rsidR="0058301E">
        <w:rPr>
          <w:rFonts w:cs="Arial"/>
          <w:color w:val="0D0D0D" w:themeColor="text1" w:themeTint="F2"/>
          <w:szCs w:val="21"/>
        </w:rPr>
        <w:t xml:space="preserve">), </w:t>
      </w:r>
      <w:r w:rsidR="00FB054B">
        <w:rPr>
          <w:rFonts w:cs="Arial"/>
          <w:color w:val="0D0D0D" w:themeColor="text1" w:themeTint="F2"/>
          <w:szCs w:val="21"/>
        </w:rPr>
        <w:t>TBD (BenefitsCal</w:t>
      </w:r>
      <w:r w:rsidR="00974F8B">
        <w:rPr>
          <w:rFonts w:cs="Arial"/>
          <w:color w:val="0D0D0D" w:themeColor="text1" w:themeTint="F2"/>
          <w:szCs w:val="21"/>
        </w:rPr>
        <w:t xml:space="preserve">), </w:t>
      </w:r>
      <w:r w:rsidRPr="000764CC">
        <w:rPr>
          <w:rFonts w:cs="Arial"/>
          <w:color w:val="0D0D0D" w:themeColor="text1" w:themeTint="F2"/>
          <w:szCs w:val="21"/>
        </w:rPr>
        <w:t>and county stakeholders – share a unified view of quality, readiness, and citizen impact. Through this partnership, QA becomes a connecting function that promotes trust, ensures alignment, and drives measurable quality across the entire CalSAWS ecosystem.</w:t>
      </w:r>
    </w:p>
    <w:p w14:paraId="50C7A2A1" w14:textId="77777777" w:rsidR="009C707E" w:rsidRPr="000764CC" w:rsidRDefault="009C707E" w:rsidP="000764CC">
      <w:pPr>
        <w:spacing w:before="120" w:after="120"/>
        <w:rPr>
          <w:rFonts w:cs="Arial"/>
          <w:color w:val="0D0D0D" w:themeColor="text1" w:themeTint="F2"/>
          <w:szCs w:val="21"/>
        </w:rPr>
      </w:pPr>
    </w:p>
    <w:p w14:paraId="4C3D5142" w14:textId="7DFCF979" w:rsidR="000764CC" w:rsidRPr="004C3C17" w:rsidRDefault="009B0773" w:rsidP="000764CC">
      <w:pPr>
        <w:spacing w:before="120" w:after="120"/>
        <w:rPr>
          <w:rFonts w:cs="Arial"/>
          <w:color w:val="0070C0"/>
          <w:sz w:val="28"/>
          <w:szCs w:val="28"/>
        </w:rPr>
      </w:pPr>
      <w:r>
        <w:rPr>
          <w:rFonts w:cs="Arial"/>
          <w:color w:val="0070C0"/>
          <w:sz w:val="28"/>
          <w:szCs w:val="28"/>
        </w:rPr>
        <w:t>Our</w:t>
      </w:r>
      <w:r w:rsidR="000764CC" w:rsidRPr="004C3C17">
        <w:rPr>
          <w:rFonts w:cs="Arial"/>
          <w:color w:val="0070C0"/>
          <w:sz w:val="28"/>
          <w:szCs w:val="28"/>
        </w:rPr>
        <w:t xml:space="preserve"> Understanding of the Consortium’s </w:t>
      </w:r>
      <w:r w:rsidR="00EF72CA">
        <w:rPr>
          <w:rFonts w:cs="Arial"/>
          <w:color w:val="0070C0"/>
          <w:sz w:val="28"/>
          <w:szCs w:val="28"/>
        </w:rPr>
        <w:t>Inten</w:t>
      </w:r>
      <w:r w:rsidR="000764CC" w:rsidRPr="00AA4A1C">
        <w:rPr>
          <w:rFonts w:cs="Arial"/>
          <w:color w:val="0070C0"/>
          <w:sz w:val="28"/>
          <w:szCs w:val="28"/>
        </w:rPr>
        <w:t>t</w:t>
      </w:r>
    </w:p>
    <w:p w14:paraId="6763323B"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 xml:space="preserve">The Consortium’s question underscores a central objective: ensuring </w:t>
      </w:r>
      <w:r w:rsidRPr="000764CC">
        <w:rPr>
          <w:rFonts w:cs="Arial"/>
          <w:b/>
          <w:bCs/>
          <w:color w:val="0D0D0D" w:themeColor="text1" w:themeTint="F2"/>
          <w:szCs w:val="21"/>
        </w:rPr>
        <w:t>clear, collaborative alignment of Quality Assurance (QA) responsibilities</w:t>
      </w:r>
      <w:r w:rsidRPr="000764CC">
        <w:rPr>
          <w:rFonts w:cs="Arial"/>
          <w:color w:val="0D0D0D" w:themeColor="text1" w:themeTint="F2"/>
          <w:szCs w:val="21"/>
        </w:rPr>
        <w:t xml:space="preserve"> across all contractors </w:t>
      </w:r>
      <w:r w:rsidRPr="000764CC">
        <w:rPr>
          <w:rFonts w:cs="Arial"/>
          <w:color w:val="0D0D0D" w:themeColor="text1" w:themeTint="F2"/>
          <w:szCs w:val="21"/>
        </w:rPr>
        <w:lastRenderedPageBreak/>
        <w:t>operating within the CalSAWS ecosystem. The Consortium seeks a QA partner that is both independent and integrative—able to maintain objective oversight while reinforcing coordination, accountability, and transparency among the Maintenance &amp; Enhancement (M&amp;E), Infrastructure, and BenefitsCal contractors.</w:t>
      </w:r>
    </w:p>
    <w:p w14:paraId="638AF8CB"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 xml:space="preserve">From our work supporting statewide programs such as </w:t>
      </w:r>
      <w:r w:rsidRPr="000764CC">
        <w:rPr>
          <w:rFonts w:cs="Arial"/>
          <w:b/>
          <w:bCs/>
          <w:color w:val="0D0D0D" w:themeColor="text1" w:themeTint="F2"/>
          <w:szCs w:val="21"/>
        </w:rPr>
        <w:t>California MMIS</w:t>
      </w:r>
      <w:r w:rsidRPr="000764CC">
        <w:rPr>
          <w:rFonts w:cs="Arial"/>
          <w:color w:val="0D0D0D" w:themeColor="text1" w:themeTint="F2"/>
          <w:szCs w:val="21"/>
        </w:rPr>
        <w:t xml:space="preserve">, </w:t>
      </w:r>
      <w:r w:rsidRPr="000764CC">
        <w:rPr>
          <w:rFonts w:cs="Arial"/>
          <w:b/>
          <w:bCs/>
          <w:color w:val="0D0D0D" w:themeColor="text1" w:themeTint="F2"/>
          <w:szCs w:val="21"/>
        </w:rPr>
        <w:t>CWS-CARES</w:t>
      </w:r>
      <w:r w:rsidRPr="000764CC">
        <w:rPr>
          <w:rFonts w:cs="Arial"/>
          <w:color w:val="0D0D0D" w:themeColor="text1" w:themeTint="F2"/>
          <w:szCs w:val="21"/>
        </w:rPr>
        <w:t xml:space="preserve">, and </w:t>
      </w:r>
      <w:r w:rsidRPr="000764CC">
        <w:rPr>
          <w:rFonts w:cs="Arial"/>
          <w:b/>
          <w:bCs/>
          <w:color w:val="0D0D0D" w:themeColor="text1" w:themeTint="F2"/>
          <w:szCs w:val="21"/>
        </w:rPr>
        <w:t>Arizona DES</w:t>
      </w:r>
      <w:r w:rsidRPr="000764CC">
        <w:rPr>
          <w:rFonts w:cs="Arial"/>
          <w:color w:val="0D0D0D" w:themeColor="text1" w:themeTint="F2"/>
          <w:szCs w:val="21"/>
        </w:rPr>
        <w:t xml:space="preserve">, IBM understands that success in environments like CalSAWS depends on transforming vendor coordination into a disciplined governance practice. Effective QA must do more than verify quality after development. It must </w:t>
      </w:r>
      <w:r w:rsidRPr="000764CC">
        <w:rPr>
          <w:rFonts w:cs="Arial"/>
          <w:b/>
          <w:bCs/>
          <w:color w:val="0D0D0D" w:themeColor="text1" w:themeTint="F2"/>
          <w:szCs w:val="21"/>
        </w:rPr>
        <w:t>build shared understanding before, during, and after every release</w:t>
      </w:r>
      <w:r w:rsidRPr="000764CC">
        <w:rPr>
          <w:rFonts w:cs="Arial"/>
          <w:color w:val="0D0D0D" w:themeColor="text1" w:themeTint="F2"/>
          <w:szCs w:val="21"/>
        </w:rPr>
        <w:t>.</w:t>
      </w:r>
    </w:p>
    <w:p w14:paraId="65776B25"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We interpret the Consortium’s intent through five guiding principles:</w:t>
      </w:r>
    </w:p>
    <w:p w14:paraId="31565DC2"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Ownership:</w:t>
      </w:r>
      <w:r w:rsidRPr="000764CC">
        <w:rPr>
          <w:rFonts w:cs="Arial"/>
          <w:szCs w:val="21"/>
        </w:rPr>
        <w:t xml:space="preserve"> QA must define clear boundaries of responsibility and maintain independence while integrating seamlessly into the CalSAWS PMO governance structure.</w:t>
      </w:r>
    </w:p>
    <w:p w14:paraId="5957A3DB"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Alignment:</w:t>
      </w:r>
      <w:r w:rsidRPr="000764CC">
        <w:rPr>
          <w:rFonts w:cs="Arial"/>
          <w:szCs w:val="21"/>
        </w:rPr>
        <w:t xml:space="preserve"> Roles, dependencies, and handoffs must be transparent and continuously validated across the Consortium, contractors, and counties.</w:t>
      </w:r>
    </w:p>
    <w:p w14:paraId="1235F43C"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Transparency:</w:t>
      </w:r>
      <w:r w:rsidRPr="000764CC">
        <w:rPr>
          <w:rFonts w:cs="Arial"/>
          <w:szCs w:val="21"/>
        </w:rPr>
        <w:t xml:space="preserve"> The Consortium requires real-time visibility into QA progress, deliverables, risks, and readiness through standardized metrics and dashboards.</w:t>
      </w:r>
    </w:p>
    <w:p w14:paraId="3AE755F3"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Collaboration:</w:t>
      </w:r>
      <w:r w:rsidRPr="000764CC">
        <w:rPr>
          <w:rFonts w:cs="Arial"/>
          <w:szCs w:val="21"/>
        </w:rPr>
        <w:t xml:space="preserve"> QA should actively facilitate cross-vendor coordination—not function as a silo—and foster a true “One Team CalSAWS” culture.</w:t>
      </w:r>
    </w:p>
    <w:p w14:paraId="57D90EF0"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Accountability:</w:t>
      </w:r>
      <w:r w:rsidRPr="000764CC">
        <w:rPr>
          <w:rFonts w:cs="Arial"/>
          <w:szCs w:val="21"/>
        </w:rPr>
        <w:t xml:space="preserve"> QA must surface cross-vendor risks early and work collaboratively through governance channels to resolve them before they affect delivery.</w:t>
      </w:r>
    </w:p>
    <w:p w14:paraId="3D1EE7DA"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 xml:space="preserve">In this capacity, IBM will work as a </w:t>
      </w:r>
      <w:r w:rsidRPr="000764CC">
        <w:rPr>
          <w:rFonts w:cs="Arial"/>
          <w:b/>
          <w:bCs/>
          <w:color w:val="0D0D0D" w:themeColor="text1" w:themeTint="F2"/>
          <w:szCs w:val="21"/>
        </w:rPr>
        <w:t>trusted partner to the CalSAWS PMO</w:t>
      </w:r>
      <w:r w:rsidRPr="000764CC">
        <w:rPr>
          <w:rFonts w:cs="Arial"/>
          <w:color w:val="0D0D0D" w:themeColor="text1" w:themeTint="F2"/>
          <w:szCs w:val="21"/>
        </w:rPr>
        <w:t>, providing independent quality oversight and actionable insights that empower data-driven decisions, accelerate release readiness, and strengthen overall delivery performance across all vendors.</w:t>
      </w:r>
    </w:p>
    <w:p w14:paraId="275F0243" w14:textId="77777777" w:rsidR="00AA4A1C" w:rsidRDefault="00AA4A1C" w:rsidP="000764CC">
      <w:pPr>
        <w:spacing w:before="120" w:after="120"/>
        <w:rPr>
          <w:rFonts w:cs="Arial"/>
          <w:b/>
          <w:bCs/>
          <w:color w:val="0070C0"/>
          <w:szCs w:val="21"/>
        </w:rPr>
      </w:pPr>
    </w:p>
    <w:p w14:paraId="65B167CA" w14:textId="062A6696" w:rsidR="000764CC" w:rsidRPr="004C3C17" w:rsidRDefault="000764CC" w:rsidP="000764CC">
      <w:pPr>
        <w:spacing w:before="120" w:after="120"/>
        <w:rPr>
          <w:rFonts w:cs="Arial"/>
          <w:color w:val="0070C0"/>
          <w:sz w:val="28"/>
          <w:szCs w:val="28"/>
        </w:rPr>
      </w:pPr>
      <w:r w:rsidRPr="004C3C17">
        <w:rPr>
          <w:rFonts w:cs="Arial"/>
          <w:color w:val="0070C0"/>
          <w:sz w:val="28"/>
          <w:szCs w:val="28"/>
        </w:rPr>
        <w:t>Our Approach</w:t>
      </w:r>
    </w:p>
    <w:p w14:paraId="61E7A92A" w14:textId="77777777" w:rsidR="000764CC" w:rsidRPr="000764CC" w:rsidRDefault="000764CC" w:rsidP="000764CC">
      <w:pPr>
        <w:spacing w:before="120"/>
        <w:rPr>
          <w:rFonts w:cstheme="minorHAnsi"/>
          <w:color w:val="000000" w:themeColor="text2"/>
        </w:rPr>
      </w:pPr>
      <w:r w:rsidRPr="000764CC">
        <w:rPr>
          <w:rFonts w:cstheme="minorHAnsi"/>
          <w:color w:val="000000" w:themeColor="text2"/>
        </w:rPr>
        <w:t>IBM’s approach to managing its QA scope within CalSAWS is built on three pillars:</w:t>
      </w:r>
    </w:p>
    <w:p w14:paraId="0F51A8F8" w14:textId="77777777" w:rsidR="000764CC" w:rsidRPr="000764CC" w:rsidRDefault="000764CC" w:rsidP="006F03DE">
      <w:pPr>
        <w:spacing w:before="120" w:after="120"/>
        <w:ind w:left="720" w:hanging="360"/>
        <w:rPr>
          <w:rFonts w:cs="Arial"/>
          <w:color w:val="0D0D0D" w:themeColor="text1" w:themeTint="F2"/>
          <w:szCs w:val="21"/>
        </w:rPr>
      </w:pPr>
      <w:r w:rsidRPr="000764CC">
        <w:rPr>
          <w:rFonts w:cs="Arial"/>
          <w:b/>
          <w:bCs/>
          <w:color w:val="0D0D0D" w:themeColor="text1" w:themeTint="F2"/>
          <w:szCs w:val="21"/>
        </w:rPr>
        <w:t>1.</w:t>
      </w:r>
      <w:r w:rsidRPr="000764CC">
        <w:rPr>
          <w:rFonts w:cs="Arial"/>
          <w:b/>
          <w:bCs/>
          <w:color w:val="0D0D0D" w:themeColor="text1" w:themeTint="F2"/>
          <w:szCs w:val="21"/>
        </w:rPr>
        <w:tab/>
        <w:t>Structured governance</w:t>
      </w:r>
      <w:r w:rsidRPr="000764CC">
        <w:rPr>
          <w:rFonts w:cs="Arial"/>
          <w:color w:val="0D0D0D" w:themeColor="text1" w:themeTint="F2"/>
          <w:szCs w:val="21"/>
        </w:rPr>
        <w:t xml:space="preserve"> that defines ownership and escalation.</w:t>
      </w:r>
    </w:p>
    <w:p w14:paraId="4ACBFD79" w14:textId="77777777" w:rsidR="000764CC" w:rsidRPr="000764CC" w:rsidRDefault="000764CC" w:rsidP="006F03DE">
      <w:pPr>
        <w:spacing w:before="120" w:after="120"/>
        <w:ind w:left="720" w:hanging="360"/>
        <w:rPr>
          <w:rFonts w:cs="Arial"/>
          <w:color w:val="0D0D0D" w:themeColor="text1" w:themeTint="F2"/>
          <w:szCs w:val="21"/>
        </w:rPr>
      </w:pPr>
      <w:r w:rsidRPr="000764CC">
        <w:rPr>
          <w:rFonts w:cs="Arial"/>
          <w:b/>
          <w:bCs/>
          <w:color w:val="0D0D0D" w:themeColor="text1" w:themeTint="F2"/>
          <w:szCs w:val="21"/>
        </w:rPr>
        <w:t>2.</w:t>
      </w:r>
      <w:r w:rsidRPr="000764CC">
        <w:rPr>
          <w:rFonts w:cs="Arial"/>
          <w:b/>
          <w:bCs/>
          <w:color w:val="0D0D0D" w:themeColor="text1" w:themeTint="F2"/>
          <w:szCs w:val="21"/>
        </w:rPr>
        <w:tab/>
        <w:t>Transparent collaboration</w:t>
      </w:r>
      <w:r w:rsidRPr="000764CC">
        <w:rPr>
          <w:rFonts w:cs="Arial"/>
          <w:color w:val="0D0D0D" w:themeColor="text1" w:themeTint="F2"/>
          <w:szCs w:val="21"/>
        </w:rPr>
        <w:t xml:space="preserve"> that strengthens coordination among all vendors.</w:t>
      </w:r>
    </w:p>
    <w:p w14:paraId="0EC7DA76" w14:textId="77777777" w:rsidR="000764CC" w:rsidRPr="000764CC" w:rsidRDefault="000764CC" w:rsidP="006F03DE">
      <w:pPr>
        <w:spacing w:before="120" w:after="120"/>
        <w:ind w:left="720" w:hanging="360"/>
        <w:rPr>
          <w:rFonts w:cs="Arial"/>
          <w:color w:val="0D0D0D" w:themeColor="text1" w:themeTint="F2"/>
          <w:szCs w:val="21"/>
        </w:rPr>
      </w:pPr>
      <w:r w:rsidRPr="000764CC">
        <w:rPr>
          <w:rFonts w:cs="Arial"/>
          <w:b/>
          <w:bCs/>
          <w:color w:val="0D0D0D" w:themeColor="text1" w:themeTint="F2"/>
          <w:szCs w:val="21"/>
        </w:rPr>
        <w:t>3.</w:t>
      </w:r>
      <w:r w:rsidRPr="000764CC">
        <w:rPr>
          <w:rFonts w:cs="Arial"/>
          <w:b/>
          <w:bCs/>
          <w:color w:val="0D0D0D" w:themeColor="text1" w:themeTint="F2"/>
          <w:szCs w:val="21"/>
        </w:rPr>
        <w:tab/>
        <w:t>Continuous alignment</w:t>
      </w:r>
      <w:r w:rsidRPr="000764CC">
        <w:rPr>
          <w:rFonts w:cs="Arial"/>
          <w:color w:val="0D0D0D" w:themeColor="text1" w:themeTint="F2"/>
          <w:szCs w:val="21"/>
        </w:rPr>
        <w:t xml:space="preserve"> through shared data, reporting, and quality objectives.</w:t>
      </w:r>
    </w:p>
    <w:p w14:paraId="241489A1" w14:textId="77777777" w:rsidR="000764CC" w:rsidRPr="000764CC" w:rsidRDefault="000764CC" w:rsidP="00595028">
      <w:pPr>
        <w:spacing w:before="120" w:after="120"/>
        <w:rPr>
          <w:rFonts w:cs="Arial"/>
          <w:color w:val="0D0D0D" w:themeColor="text1" w:themeTint="F2"/>
          <w:szCs w:val="21"/>
        </w:rPr>
      </w:pPr>
      <w:r w:rsidRPr="000764CC">
        <w:rPr>
          <w:rFonts w:cs="Arial"/>
          <w:color w:val="0D0D0D" w:themeColor="text1" w:themeTint="F2"/>
          <w:szCs w:val="21"/>
        </w:rPr>
        <w:t xml:space="preserve">Together, these ensure that QA is not a parallel track, but a fully integrated part of the </w:t>
      </w:r>
      <w:r w:rsidRPr="000764CC">
        <w:rPr>
          <w:rFonts w:cs="Arial"/>
          <w:b/>
          <w:bCs/>
          <w:color w:val="0D0D0D" w:themeColor="text1" w:themeTint="F2"/>
          <w:szCs w:val="21"/>
        </w:rPr>
        <w:t>One Team CalSAWS model</w:t>
      </w:r>
      <w:r w:rsidRPr="000764CC">
        <w:rPr>
          <w:rFonts w:cs="Arial"/>
          <w:color w:val="0D0D0D" w:themeColor="text1" w:themeTint="F2"/>
          <w:szCs w:val="21"/>
        </w:rPr>
        <w:t>, operating in sync with the Consortium and all contractors.</w:t>
      </w:r>
    </w:p>
    <w:p w14:paraId="42F0B822"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1.</w:t>
      </w:r>
      <w:r w:rsidRPr="000764CC">
        <w:rPr>
          <w:rFonts w:cs="Arial"/>
          <w:b/>
          <w:bCs/>
          <w:color w:val="0D0D0D" w:themeColor="text1" w:themeTint="F2"/>
          <w:szCs w:val="21"/>
        </w:rPr>
        <w:tab/>
        <w:t>Integrated Governance with RACI Alignment</w:t>
      </w:r>
    </w:p>
    <w:p w14:paraId="27D4D79B" w14:textId="77777777" w:rsidR="000764CC" w:rsidRPr="000764CC" w:rsidRDefault="000764CC" w:rsidP="00054E3D">
      <w:pPr>
        <w:spacing w:before="120" w:after="120"/>
        <w:rPr>
          <w:rFonts w:cs="Arial"/>
          <w:color w:val="0D0D0D" w:themeColor="text1" w:themeTint="F2"/>
          <w:szCs w:val="21"/>
        </w:rPr>
      </w:pPr>
      <w:r w:rsidRPr="000764CC">
        <w:rPr>
          <w:rFonts w:cs="Arial"/>
          <w:color w:val="0D0D0D" w:themeColor="text1" w:themeTint="F2"/>
          <w:szCs w:val="21"/>
        </w:rPr>
        <w:t xml:space="preserve">Ambiguity of ownership is one of the most common causes of rework and delay in multi-contractor environments. IBM mitigates this risk through a </w:t>
      </w:r>
      <w:r w:rsidRPr="000764CC">
        <w:rPr>
          <w:rFonts w:cs="Arial"/>
          <w:b/>
          <w:bCs/>
          <w:color w:val="0D0D0D" w:themeColor="text1" w:themeTint="F2"/>
          <w:szCs w:val="21"/>
        </w:rPr>
        <w:t>formal RACI (Responsible, Accountable, Consulted, Informed) framework</w:t>
      </w:r>
      <w:r w:rsidRPr="000764CC">
        <w:rPr>
          <w:rFonts w:cs="Arial"/>
          <w:color w:val="0D0D0D" w:themeColor="text1" w:themeTint="F2"/>
          <w:szCs w:val="21"/>
        </w:rPr>
        <w:t>, co-developed with the Consortium during transition and finalized within the first 60 days of onboarding.</w:t>
      </w:r>
    </w:p>
    <w:p w14:paraId="2B601453" w14:textId="77777777" w:rsidR="000764CC" w:rsidRPr="000764CC" w:rsidRDefault="000764CC" w:rsidP="00054E3D">
      <w:pPr>
        <w:spacing w:before="120" w:after="120"/>
        <w:rPr>
          <w:rFonts w:cs="Arial"/>
          <w:color w:val="0D0D0D" w:themeColor="text1" w:themeTint="F2"/>
          <w:szCs w:val="21"/>
        </w:rPr>
      </w:pPr>
      <w:r w:rsidRPr="000764CC">
        <w:rPr>
          <w:rFonts w:cs="Arial"/>
          <w:color w:val="0D0D0D" w:themeColor="text1" w:themeTint="F2"/>
          <w:szCs w:val="21"/>
        </w:rPr>
        <w:t>This RACI defines how IBM will coordinate quality oversight across:</w:t>
      </w:r>
    </w:p>
    <w:p w14:paraId="1FF884C7" w14:textId="77777777" w:rsidR="000764CC" w:rsidRPr="000764CC" w:rsidRDefault="000764CC" w:rsidP="00206A0F">
      <w:pPr>
        <w:numPr>
          <w:ilvl w:val="0"/>
          <w:numId w:val="11"/>
        </w:numPr>
        <w:spacing w:before="60"/>
        <w:ind w:left="717" w:hanging="357"/>
        <w:rPr>
          <w:rFonts w:cs="Arial"/>
          <w:szCs w:val="21"/>
        </w:rPr>
      </w:pPr>
      <w:r w:rsidRPr="000764CC">
        <w:rPr>
          <w:rFonts w:cs="Arial"/>
          <w:szCs w:val="21"/>
        </w:rPr>
        <w:t>IBM QA Contractor</w:t>
      </w:r>
    </w:p>
    <w:p w14:paraId="1C0A8ADB" w14:textId="77777777" w:rsidR="000764CC" w:rsidRPr="000764CC" w:rsidRDefault="000764CC" w:rsidP="00206A0F">
      <w:pPr>
        <w:numPr>
          <w:ilvl w:val="0"/>
          <w:numId w:val="11"/>
        </w:numPr>
        <w:spacing w:before="60"/>
        <w:ind w:left="717" w:hanging="357"/>
        <w:rPr>
          <w:rFonts w:cs="Arial"/>
          <w:szCs w:val="21"/>
        </w:rPr>
      </w:pPr>
      <w:r w:rsidRPr="000764CC">
        <w:rPr>
          <w:rFonts w:cs="Arial"/>
          <w:szCs w:val="21"/>
        </w:rPr>
        <w:lastRenderedPageBreak/>
        <w:t>Deloitte – Maintenance &amp; Enhancement (M&amp;E)</w:t>
      </w:r>
    </w:p>
    <w:p w14:paraId="5B7DAEC0" w14:textId="77777777" w:rsidR="000764CC" w:rsidRPr="000764CC" w:rsidRDefault="000764CC" w:rsidP="00206A0F">
      <w:pPr>
        <w:numPr>
          <w:ilvl w:val="0"/>
          <w:numId w:val="11"/>
        </w:numPr>
        <w:spacing w:before="60"/>
        <w:ind w:left="717" w:hanging="357"/>
        <w:rPr>
          <w:rFonts w:cs="Arial"/>
          <w:szCs w:val="21"/>
        </w:rPr>
      </w:pPr>
      <w:r w:rsidRPr="000764CC">
        <w:rPr>
          <w:rFonts w:cs="Arial"/>
          <w:szCs w:val="21"/>
        </w:rPr>
        <w:t>Gainwell – Infrastructure</w:t>
      </w:r>
    </w:p>
    <w:p w14:paraId="7FA5E89E" w14:textId="3EC87A41" w:rsidR="000764CC" w:rsidRPr="000764CC" w:rsidRDefault="00635FD6" w:rsidP="00206A0F">
      <w:pPr>
        <w:numPr>
          <w:ilvl w:val="0"/>
          <w:numId w:val="11"/>
        </w:numPr>
        <w:spacing w:before="60"/>
        <w:ind w:left="717" w:hanging="357"/>
        <w:rPr>
          <w:rFonts w:cs="Arial"/>
          <w:szCs w:val="21"/>
        </w:rPr>
      </w:pPr>
      <w:r>
        <w:rPr>
          <w:rFonts w:cs="Arial"/>
          <w:szCs w:val="21"/>
        </w:rPr>
        <w:t xml:space="preserve">TBD – </w:t>
      </w:r>
      <w:r w:rsidR="000764CC" w:rsidRPr="000764CC">
        <w:rPr>
          <w:rFonts w:cs="Arial"/>
          <w:szCs w:val="21"/>
        </w:rPr>
        <w:t>BenefitsCal</w:t>
      </w:r>
    </w:p>
    <w:p w14:paraId="1AD9F2AE" w14:textId="77777777" w:rsidR="000764CC" w:rsidRPr="000764CC" w:rsidRDefault="000764CC" w:rsidP="00206A0F">
      <w:pPr>
        <w:numPr>
          <w:ilvl w:val="0"/>
          <w:numId w:val="11"/>
        </w:numPr>
        <w:spacing w:before="60"/>
        <w:ind w:left="717" w:hanging="357"/>
        <w:rPr>
          <w:rFonts w:cs="Arial"/>
          <w:szCs w:val="21"/>
        </w:rPr>
      </w:pPr>
      <w:r w:rsidRPr="000764CC">
        <w:rPr>
          <w:rFonts w:cs="Arial"/>
          <w:szCs w:val="21"/>
        </w:rPr>
        <w:t>CalSAWS Consortium / PMO</w:t>
      </w:r>
    </w:p>
    <w:p w14:paraId="363FCBA9" w14:textId="77777777" w:rsidR="000764CC" w:rsidRPr="000764CC" w:rsidRDefault="000764CC" w:rsidP="00054E3D">
      <w:pPr>
        <w:spacing w:before="120" w:after="120"/>
        <w:rPr>
          <w:rFonts w:cstheme="minorHAnsi"/>
          <w:color w:val="auto"/>
          <w:szCs w:val="21"/>
        </w:rPr>
      </w:pPr>
      <w:r w:rsidRPr="000764CC">
        <w:rPr>
          <w:rFonts w:cstheme="minorHAnsi"/>
          <w:color w:val="auto"/>
          <w:szCs w:val="21"/>
        </w:rPr>
        <w:t xml:space="preserve">Each RACI area is </w:t>
      </w:r>
      <w:r w:rsidRPr="000764CC">
        <w:rPr>
          <w:rFonts w:cs="Arial"/>
          <w:color w:val="0D0D0D" w:themeColor="text1" w:themeTint="F2"/>
          <w:szCs w:val="21"/>
        </w:rPr>
        <w:t>validated</w:t>
      </w:r>
      <w:r w:rsidRPr="000764CC">
        <w:rPr>
          <w:rFonts w:cstheme="minorHAnsi"/>
          <w:color w:val="auto"/>
          <w:szCs w:val="21"/>
        </w:rPr>
        <w:t xml:space="preserve"> through </w:t>
      </w:r>
      <w:r w:rsidRPr="000764CC">
        <w:rPr>
          <w:rFonts w:cstheme="minorHAnsi"/>
          <w:b/>
          <w:bCs/>
          <w:color w:val="auto"/>
          <w:szCs w:val="21"/>
        </w:rPr>
        <w:t>Joint Governance Workshops</w:t>
      </w:r>
      <w:r w:rsidRPr="000764CC">
        <w:rPr>
          <w:rFonts w:cstheme="minorHAnsi"/>
          <w:color w:val="auto"/>
          <w:szCs w:val="21"/>
        </w:rPr>
        <w:t xml:space="preserve"> facilitated by the PMO and reviewed quarterly to ensure it remains accurate as program scopes evolve.</w:t>
      </w:r>
    </w:p>
    <w:p w14:paraId="4874F30D" w14:textId="77777777" w:rsidR="000764CC" w:rsidRPr="000764CC" w:rsidRDefault="000764CC" w:rsidP="00054E3D">
      <w:pPr>
        <w:spacing w:before="120" w:after="120"/>
        <w:rPr>
          <w:rFonts w:cs="Arial"/>
          <w:color w:val="0D0D0D" w:themeColor="text1" w:themeTint="F2"/>
          <w:szCs w:val="21"/>
        </w:rPr>
      </w:pPr>
      <w:r w:rsidRPr="000764CC">
        <w:rPr>
          <w:rFonts w:cs="Arial"/>
          <w:color w:val="0D0D0D" w:themeColor="text1" w:themeTint="F2"/>
          <w:szCs w:val="21"/>
        </w:rPr>
        <w:t>This structured alignment ensures:</w:t>
      </w:r>
    </w:p>
    <w:p w14:paraId="499D1FB3" w14:textId="77777777" w:rsidR="000764CC" w:rsidRPr="000764CC" w:rsidRDefault="000764CC" w:rsidP="00206A0F">
      <w:pPr>
        <w:numPr>
          <w:ilvl w:val="0"/>
          <w:numId w:val="11"/>
        </w:numPr>
        <w:spacing w:before="60"/>
        <w:ind w:left="717" w:hanging="357"/>
        <w:rPr>
          <w:rFonts w:cs="Arial"/>
          <w:szCs w:val="21"/>
        </w:rPr>
      </w:pPr>
      <w:r w:rsidRPr="000764CC">
        <w:rPr>
          <w:rFonts w:cs="Arial"/>
          <w:b/>
          <w:bCs/>
          <w:szCs w:val="21"/>
        </w:rPr>
        <w:t>Clear accountability:</w:t>
      </w:r>
      <w:r w:rsidRPr="000764CC">
        <w:rPr>
          <w:rFonts w:cs="Arial"/>
          <w:szCs w:val="21"/>
        </w:rPr>
        <w:t xml:space="preserve"> Each activity—such as test planning, execution, reporting, and defect resolution—has an explicitly defined owner.</w:t>
      </w:r>
    </w:p>
    <w:p w14:paraId="2BD5F809" w14:textId="77777777" w:rsidR="000764CC" w:rsidRPr="000764CC" w:rsidRDefault="000764CC" w:rsidP="00206A0F">
      <w:pPr>
        <w:numPr>
          <w:ilvl w:val="0"/>
          <w:numId w:val="11"/>
        </w:numPr>
        <w:spacing w:before="60"/>
        <w:ind w:left="717" w:hanging="357"/>
        <w:rPr>
          <w:rFonts w:cs="Arial"/>
          <w:szCs w:val="21"/>
        </w:rPr>
      </w:pPr>
      <w:r w:rsidRPr="000764CC">
        <w:rPr>
          <w:rFonts w:cs="Arial"/>
          <w:b/>
          <w:bCs/>
          <w:szCs w:val="21"/>
        </w:rPr>
        <w:t>Reduced overlap:</w:t>
      </w:r>
      <w:r w:rsidRPr="000764CC">
        <w:rPr>
          <w:rFonts w:cs="Arial"/>
          <w:szCs w:val="21"/>
        </w:rPr>
        <w:t xml:space="preserve"> Responsibilities and handoffs are documented to prevent duplication or scope conflict.</w:t>
      </w:r>
    </w:p>
    <w:p w14:paraId="77499B29" w14:textId="562A7FD3" w:rsidR="000764CC" w:rsidRPr="000764CC" w:rsidRDefault="000764CC" w:rsidP="00206A0F">
      <w:pPr>
        <w:numPr>
          <w:ilvl w:val="0"/>
          <w:numId w:val="11"/>
        </w:numPr>
        <w:spacing w:before="60"/>
        <w:ind w:left="717" w:hanging="357"/>
        <w:rPr>
          <w:rFonts w:cs="Arial"/>
          <w:szCs w:val="21"/>
        </w:rPr>
      </w:pPr>
      <w:r w:rsidRPr="000764CC">
        <w:rPr>
          <w:rFonts w:cs="Arial"/>
          <w:b/>
          <w:bCs/>
          <w:szCs w:val="21"/>
        </w:rPr>
        <w:t>Governance integration:</w:t>
      </w:r>
      <w:r w:rsidRPr="000764CC">
        <w:rPr>
          <w:rFonts w:cs="Arial"/>
          <w:szCs w:val="21"/>
        </w:rPr>
        <w:t xml:space="preserve"> All QA touchpoints flow through existing Consortium boards, including the QA Governance Board and Release Readiness Reviews.</w:t>
      </w:r>
    </w:p>
    <w:p w14:paraId="454825AB" w14:textId="26D3389D" w:rsidR="003A28F3" w:rsidRDefault="003A28F3" w:rsidP="003A28F3">
      <w:pPr>
        <w:pStyle w:val="Caption"/>
        <w:keepNext/>
        <w:jc w:val="center"/>
      </w:pPr>
      <w:bookmarkStart w:id="25" w:name="_Toc213069365"/>
      <w:r>
        <w:t xml:space="preserve">Table 4.2.1. </w:t>
      </w:r>
      <w:r>
        <w:fldChar w:fldCharType="begin"/>
      </w:r>
      <w:r>
        <w:instrText xml:space="preserve"> SEQ Table_4.2.1. \* ARABIC </w:instrText>
      </w:r>
      <w:r>
        <w:fldChar w:fldCharType="separate"/>
      </w:r>
      <w:r>
        <w:rPr>
          <w:noProof/>
        </w:rPr>
        <w:t>1</w:t>
      </w:r>
      <w:r>
        <w:fldChar w:fldCharType="end"/>
      </w:r>
      <w:r>
        <w:t xml:space="preserve"> Example: Defect Management RACI</w:t>
      </w:r>
      <w:bookmarkEnd w:id="25"/>
    </w:p>
    <w:tbl>
      <w:tblPr>
        <w:tblStyle w:val="TableGrid"/>
        <w:tblW w:w="9345"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35"/>
        <w:gridCol w:w="774"/>
        <w:gridCol w:w="1262"/>
        <w:gridCol w:w="1940"/>
        <w:gridCol w:w="1608"/>
        <w:gridCol w:w="1626"/>
      </w:tblGrid>
      <w:tr w:rsidR="002F3053" w:rsidRPr="000764CC" w14:paraId="4C0696E0" w14:textId="77777777" w:rsidTr="00054E3D">
        <w:trPr>
          <w:cnfStyle w:val="100000000000" w:firstRow="1" w:lastRow="0" w:firstColumn="0" w:lastColumn="0" w:oddVBand="0" w:evenVBand="0" w:oddHBand="0" w:evenHBand="0" w:firstRowFirstColumn="0" w:firstRowLastColumn="0" w:lastRowFirstColumn="0" w:lastRowLastColumn="0"/>
        </w:trPr>
        <w:tc>
          <w:tcPr>
            <w:tcW w:w="0" w:type="auto"/>
            <w:shd w:val="clear" w:color="auto" w:fill="0070C0"/>
            <w:vAlign w:val="center"/>
            <w:hideMark/>
          </w:tcPr>
          <w:p w14:paraId="58388109"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Process Area</w:t>
            </w:r>
          </w:p>
        </w:tc>
        <w:tc>
          <w:tcPr>
            <w:tcW w:w="0" w:type="auto"/>
            <w:shd w:val="clear" w:color="auto" w:fill="0070C0"/>
            <w:vAlign w:val="center"/>
            <w:hideMark/>
          </w:tcPr>
          <w:p w14:paraId="0ABB283D"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IBM (QA)</w:t>
            </w:r>
          </w:p>
        </w:tc>
        <w:tc>
          <w:tcPr>
            <w:tcW w:w="1262" w:type="dxa"/>
            <w:shd w:val="clear" w:color="auto" w:fill="0070C0"/>
            <w:vAlign w:val="center"/>
            <w:hideMark/>
          </w:tcPr>
          <w:p w14:paraId="49036A33"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Deloitte (M&amp;E)</w:t>
            </w:r>
          </w:p>
        </w:tc>
        <w:tc>
          <w:tcPr>
            <w:tcW w:w="1940" w:type="dxa"/>
            <w:shd w:val="clear" w:color="auto" w:fill="0070C0"/>
            <w:vAlign w:val="center"/>
            <w:hideMark/>
          </w:tcPr>
          <w:p w14:paraId="230E0FA7"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Gainwell (Infrastructure)</w:t>
            </w:r>
          </w:p>
        </w:tc>
        <w:tc>
          <w:tcPr>
            <w:tcW w:w="0" w:type="auto"/>
            <w:shd w:val="clear" w:color="auto" w:fill="0070C0"/>
            <w:vAlign w:val="center"/>
            <w:hideMark/>
          </w:tcPr>
          <w:p w14:paraId="6D7B4D6F" w14:textId="6773F5FC" w:rsidR="000764CC" w:rsidRPr="000764CC" w:rsidRDefault="00974F8B" w:rsidP="000764CC">
            <w:pPr>
              <w:spacing w:before="60"/>
              <w:jc w:val="center"/>
              <w:rPr>
                <w:rFonts w:cs="Arial"/>
                <w:b/>
                <w:color w:val="FFFFFF" w:themeColor="background1"/>
                <w:szCs w:val="18"/>
              </w:rPr>
            </w:pPr>
            <w:r w:rsidRPr="00974F8B">
              <w:rPr>
                <w:rFonts w:cs="Arial"/>
                <w:b/>
                <w:color w:val="FFFFFF" w:themeColor="background1"/>
                <w:szCs w:val="18"/>
              </w:rPr>
              <w:t xml:space="preserve">TBD </w:t>
            </w:r>
            <w:r w:rsidR="000764CC" w:rsidRPr="000764CC">
              <w:rPr>
                <w:rFonts w:cs="Arial"/>
                <w:b/>
                <w:color w:val="FFFFFF" w:themeColor="background1"/>
                <w:szCs w:val="18"/>
              </w:rPr>
              <w:t>(BenefitsCal)</w:t>
            </w:r>
          </w:p>
        </w:tc>
        <w:tc>
          <w:tcPr>
            <w:tcW w:w="0" w:type="auto"/>
            <w:shd w:val="clear" w:color="auto" w:fill="0070C0"/>
            <w:vAlign w:val="center"/>
            <w:hideMark/>
          </w:tcPr>
          <w:p w14:paraId="2E569E60"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Consortium / PMO</w:t>
            </w:r>
          </w:p>
        </w:tc>
      </w:tr>
      <w:tr w:rsidR="002F3053" w:rsidRPr="000764CC" w14:paraId="798545A4" w14:textId="77777777" w:rsidTr="00054E3D">
        <w:tc>
          <w:tcPr>
            <w:tcW w:w="0" w:type="auto"/>
            <w:shd w:val="clear" w:color="auto" w:fill="FFFFFF" w:themeFill="background1"/>
            <w:vAlign w:val="center"/>
            <w:hideMark/>
          </w:tcPr>
          <w:p w14:paraId="33D6EC96" w14:textId="77777777" w:rsidR="000764CC" w:rsidRPr="000764CC" w:rsidRDefault="000764CC" w:rsidP="000764CC">
            <w:pPr>
              <w:spacing w:before="60"/>
              <w:rPr>
                <w:rFonts w:cs="Arial"/>
                <w:b/>
                <w:bCs/>
                <w:szCs w:val="21"/>
              </w:rPr>
            </w:pPr>
            <w:r w:rsidRPr="000764CC">
              <w:rPr>
                <w:rFonts w:cs="Arial"/>
                <w:b/>
                <w:bCs/>
                <w:szCs w:val="21"/>
              </w:rPr>
              <w:t>Defect Logging &amp; Triage</w:t>
            </w:r>
          </w:p>
        </w:tc>
        <w:tc>
          <w:tcPr>
            <w:tcW w:w="0" w:type="auto"/>
            <w:shd w:val="clear" w:color="auto" w:fill="FFFFFF" w:themeFill="background1"/>
            <w:vAlign w:val="center"/>
            <w:hideMark/>
          </w:tcPr>
          <w:p w14:paraId="573F0ED5" w14:textId="77777777" w:rsidR="000764CC" w:rsidRPr="000764CC" w:rsidRDefault="000764CC" w:rsidP="000764CC">
            <w:pPr>
              <w:spacing w:before="60"/>
              <w:jc w:val="center"/>
              <w:rPr>
                <w:rFonts w:cs="Arial"/>
                <w:szCs w:val="21"/>
              </w:rPr>
            </w:pPr>
            <w:r w:rsidRPr="000764CC">
              <w:rPr>
                <w:rFonts w:cs="Arial"/>
                <w:szCs w:val="21"/>
              </w:rPr>
              <w:t>R/A</w:t>
            </w:r>
          </w:p>
        </w:tc>
        <w:tc>
          <w:tcPr>
            <w:tcW w:w="1262" w:type="dxa"/>
            <w:shd w:val="clear" w:color="auto" w:fill="FFFFFF" w:themeFill="background1"/>
            <w:vAlign w:val="center"/>
            <w:hideMark/>
          </w:tcPr>
          <w:p w14:paraId="2928E124" w14:textId="77777777" w:rsidR="000764CC" w:rsidRPr="000764CC" w:rsidRDefault="000764CC" w:rsidP="000764CC">
            <w:pPr>
              <w:spacing w:before="60"/>
              <w:jc w:val="center"/>
              <w:rPr>
                <w:rFonts w:cs="Arial"/>
                <w:szCs w:val="21"/>
              </w:rPr>
            </w:pPr>
            <w:r w:rsidRPr="000764CC">
              <w:rPr>
                <w:rFonts w:cs="Arial"/>
                <w:szCs w:val="21"/>
              </w:rPr>
              <w:t>C</w:t>
            </w:r>
          </w:p>
        </w:tc>
        <w:tc>
          <w:tcPr>
            <w:tcW w:w="1940" w:type="dxa"/>
            <w:shd w:val="clear" w:color="auto" w:fill="FFFFFF" w:themeFill="background1"/>
            <w:vAlign w:val="center"/>
            <w:hideMark/>
          </w:tcPr>
          <w:p w14:paraId="2051DACD" w14:textId="77777777" w:rsidR="000764CC" w:rsidRPr="000764CC" w:rsidRDefault="000764CC" w:rsidP="000764CC">
            <w:pPr>
              <w:spacing w:before="60"/>
              <w:jc w:val="center"/>
              <w:rPr>
                <w:rFonts w:cs="Arial"/>
                <w:szCs w:val="21"/>
              </w:rPr>
            </w:pPr>
            <w:r w:rsidRPr="000764CC">
              <w:rPr>
                <w:rFonts w:cs="Arial"/>
                <w:szCs w:val="21"/>
              </w:rPr>
              <w:t>I</w:t>
            </w:r>
          </w:p>
        </w:tc>
        <w:tc>
          <w:tcPr>
            <w:tcW w:w="0" w:type="auto"/>
            <w:shd w:val="clear" w:color="auto" w:fill="FFFFFF" w:themeFill="background1"/>
            <w:vAlign w:val="center"/>
            <w:hideMark/>
          </w:tcPr>
          <w:p w14:paraId="7F43B134" w14:textId="77777777" w:rsidR="000764CC" w:rsidRPr="000764CC" w:rsidRDefault="000764CC" w:rsidP="000764CC">
            <w:pPr>
              <w:spacing w:before="60"/>
              <w:jc w:val="center"/>
              <w:rPr>
                <w:rFonts w:cs="Arial"/>
                <w:szCs w:val="21"/>
              </w:rPr>
            </w:pPr>
            <w:r w:rsidRPr="000764CC">
              <w:rPr>
                <w:rFonts w:cs="Arial"/>
                <w:szCs w:val="21"/>
              </w:rPr>
              <w:t>I</w:t>
            </w:r>
          </w:p>
        </w:tc>
        <w:tc>
          <w:tcPr>
            <w:tcW w:w="0" w:type="auto"/>
            <w:shd w:val="clear" w:color="auto" w:fill="FFFFFF" w:themeFill="background1"/>
            <w:vAlign w:val="center"/>
            <w:hideMark/>
          </w:tcPr>
          <w:p w14:paraId="62F203B6" w14:textId="77777777" w:rsidR="000764CC" w:rsidRPr="000764CC" w:rsidRDefault="000764CC" w:rsidP="000764CC">
            <w:pPr>
              <w:spacing w:before="60"/>
              <w:jc w:val="center"/>
              <w:rPr>
                <w:rFonts w:cs="Arial"/>
                <w:szCs w:val="21"/>
              </w:rPr>
            </w:pPr>
            <w:r w:rsidRPr="000764CC">
              <w:rPr>
                <w:rFonts w:cs="Arial"/>
                <w:szCs w:val="21"/>
              </w:rPr>
              <w:t>C</w:t>
            </w:r>
          </w:p>
        </w:tc>
      </w:tr>
      <w:tr w:rsidR="002F3053" w:rsidRPr="000764CC" w14:paraId="2E20353F" w14:textId="77777777" w:rsidTr="00054E3D">
        <w:tc>
          <w:tcPr>
            <w:tcW w:w="0" w:type="auto"/>
            <w:shd w:val="clear" w:color="auto" w:fill="FFFFFF" w:themeFill="background1"/>
            <w:vAlign w:val="center"/>
            <w:hideMark/>
          </w:tcPr>
          <w:p w14:paraId="08CD8D55" w14:textId="77777777" w:rsidR="000764CC" w:rsidRPr="000764CC" w:rsidRDefault="000764CC" w:rsidP="000764CC">
            <w:pPr>
              <w:spacing w:before="60"/>
              <w:rPr>
                <w:rFonts w:cs="Arial"/>
                <w:b/>
                <w:bCs/>
                <w:szCs w:val="21"/>
              </w:rPr>
            </w:pPr>
            <w:r w:rsidRPr="000764CC">
              <w:rPr>
                <w:rFonts w:cs="Arial"/>
                <w:b/>
                <w:bCs/>
                <w:szCs w:val="21"/>
              </w:rPr>
              <w:t>Defect Resolution</w:t>
            </w:r>
          </w:p>
        </w:tc>
        <w:tc>
          <w:tcPr>
            <w:tcW w:w="0" w:type="auto"/>
            <w:shd w:val="clear" w:color="auto" w:fill="FFFFFF" w:themeFill="background1"/>
            <w:vAlign w:val="center"/>
            <w:hideMark/>
          </w:tcPr>
          <w:p w14:paraId="50B3A6F5" w14:textId="77777777" w:rsidR="000764CC" w:rsidRPr="000764CC" w:rsidRDefault="000764CC" w:rsidP="000764CC">
            <w:pPr>
              <w:spacing w:before="60"/>
              <w:jc w:val="center"/>
              <w:rPr>
                <w:rFonts w:cs="Arial"/>
                <w:szCs w:val="21"/>
              </w:rPr>
            </w:pPr>
            <w:r w:rsidRPr="000764CC">
              <w:rPr>
                <w:rFonts w:cs="Arial"/>
                <w:szCs w:val="21"/>
              </w:rPr>
              <w:t>C</w:t>
            </w:r>
          </w:p>
        </w:tc>
        <w:tc>
          <w:tcPr>
            <w:tcW w:w="1262" w:type="dxa"/>
            <w:shd w:val="clear" w:color="auto" w:fill="FFFFFF" w:themeFill="background1"/>
            <w:vAlign w:val="center"/>
            <w:hideMark/>
          </w:tcPr>
          <w:p w14:paraId="1718DDDF" w14:textId="77777777" w:rsidR="000764CC" w:rsidRPr="000764CC" w:rsidRDefault="000764CC" w:rsidP="000764CC">
            <w:pPr>
              <w:spacing w:before="60"/>
              <w:jc w:val="center"/>
              <w:rPr>
                <w:rFonts w:cs="Arial"/>
                <w:szCs w:val="21"/>
              </w:rPr>
            </w:pPr>
            <w:r w:rsidRPr="000764CC">
              <w:rPr>
                <w:rFonts w:cs="Arial"/>
                <w:szCs w:val="21"/>
              </w:rPr>
              <w:t>R/A</w:t>
            </w:r>
          </w:p>
        </w:tc>
        <w:tc>
          <w:tcPr>
            <w:tcW w:w="1940" w:type="dxa"/>
            <w:shd w:val="clear" w:color="auto" w:fill="FFFFFF" w:themeFill="background1"/>
            <w:vAlign w:val="center"/>
            <w:hideMark/>
          </w:tcPr>
          <w:p w14:paraId="300477D3" w14:textId="77777777" w:rsidR="000764CC" w:rsidRPr="000764CC" w:rsidRDefault="000764CC" w:rsidP="000764CC">
            <w:pPr>
              <w:spacing w:before="60"/>
              <w:jc w:val="center"/>
              <w:rPr>
                <w:rFonts w:cs="Arial"/>
                <w:szCs w:val="21"/>
              </w:rPr>
            </w:pPr>
            <w:r w:rsidRPr="000764CC">
              <w:rPr>
                <w:rFonts w:cs="Arial"/>
                <w:szCs w:val="21"/>
              </w:rPr>
              <w:t>C</w:t>
            </w:r>
          </w:p>
        </w:tc>
        <w:tc>
          <w:tcPr>
            <w:tcW w:w="0" w:type="auto"/>
            <w:shd w:val="clear" w:color="auto" w:fill="FFFFFF" w:themeFill="background1"/>
            <w:vAlign w:val="center"/>
            <w:hideMark/>
          </w:tcPr>
          <w:p w14:paraId="36759BE4" w14:textId="77777777" w:rsidR="000764CC" w:rsidRPr="000764CC" w:rsidRDefault="000764CC" w:rsidP="000764CC">
            <w:pPr>
              <w:spacing w:before="60"/>
              <w:jc w:val="center"/>
              <w:rPr>
                <w:rFonts w:cs="Arial"/>
                <w:szCs w:val="21"/>
              </w:rPr>
            </w:pPr>
            <w:r w:rsidRPr="000764CC">
              <w:rPr>
                <w:rFonts w:cs="Arial"/>
                <w:szCs w:val="21"/>
              </w:rPr>
              <w:t>C</w:t>
            </w:r>
          </w:p>
        </w:tc>
        <w:tc>
          <w:tcPr>
            <w:tcW w:w="0" w:type="auto"/>
            <w:shd w:val="clear" w:color="auto" w:fill="FFFFFF" w:themeFill="background1"/>
            <w:vAlign w:val="center"/>
            <w:hideMark/>
          </w:tcPr>
          <w:p w14:paraId="58EA432F" w14:textId="77777777" w:rsidR="000764CC" w:rsidRPr="000764CC" w:rsidRDefault="000764CC" w:rsidP="000764CC">
            <w:pPr>
              <w:spacing w:before="60"/>
              <w:jc w:val="center"/>
              <w:rPr>
                <w:rFonts w:cs="Arial"/>
                <w:szCs w:val="21"/>
              </w:rPr>
            </w:pPr>
            <w:r w:rsidRPr="000764CC">
              <w:rPr>
                <w:rFonts w:cs="Arial"/>
                <w:szCs w:val="21"/>
              </w:rPr>
              <w:t>I</w:t>
            </w:r>
          </w:p>
        </w:tc>
      </w:tr>
      <w:tr w:rsidR="002F3053" w:rsidRPr="000764CC" w14:paraId="6B9F2F71" w14:textId="77777777" w:rsidTr="00054E3D">
        <w:tc>
          <w:tcPr>
            <w:tcW w:w="0" w:type="auto"/>
            <w:shd w:val="clear" w:color="auto" w:fill="FFFFFF" w:themeFill="background1"/>
            <w:vAlign w:val="center"/>
            <w:hideMark/>
          </w:tcPr>
          <w:p w14:paraId="24A77D31" w14:textId="77777777" w:rsidR="000764CC" w:rsidRPr="000764CC" w:rsidRDefault="000764CC" w:rsidP="000764CC">
            <w:pPr>
              <w:spacing w:before="60"/>
              <w:rPr>
                <w:rFonts w:cs="Arial"/>
                <w:b/>
                <w:bCs/>
                <w:szCs w:val="21"/>
              </w:rPr>
            </w:pPr>
            <w:r w:rsidRPr="000764CC">
              <w:rPr>
                <w:rFonts w:cs="Arial"/>
                <w:b/>
                <w:bCs/>
                <w:szCs w:val="21"/>
              </w:rPr>
              <w:t>UAT Sign-Off</w:t>
            </w:r>
          </w:p>
        </w:tc>
        <w:tc>
          <w:tcPr>
            <w:tcW w:w="0" w:type="auto"/>
            <w:shd w:val="clear" w:color="auto" w:fill="FFFFFF" w:themeFill="background1"/>
            <w:vAlign w:val="center"/>
            <w:hideMark/>
          </w:tcPr>
          <w:p w14:paraId="487A8955" w14:textId="77777777" w:rsidR="000764CC" w:rsidRPr="000764CC" w:rsidRDefault="000764CC" w:rsidP="000764CC">
            <w:pPr>
              <w:spacing w:before="60"/>
              <w:jc w:val="center"/>
              <w:rPr>
                <w:rFonts w:cs="Arial"/>
                <w:szCs w:val="21"/>
              </w:rPr>
            </w:pPr>
            <w:r w:rsidRPr="000764CC">
              <w:rPr>
                <w:rFonts w:cs="Arial"/>
                <w:szCs w:val="21"/>
              </w:rPr>
              <w:t>C</w:t>
            </w:r>
          </w:p>
        </w:tc>
        <w:tc>
          <w:tcPr>
            <w:tcW w:w="1262" w:type="dxa"/>
            <w:shd w:val="clear" w:color="auto" w:fill="FFFFFF" w:themeFill="background1"/>
            <w:vAlign w:val="center"/>
            <w:hideMark/>
          </w:tcPr>
          <w:p w14:paraId="1FF35520" w14:textId="77777777" w:rsidR="000764CC" w:rsidRPr="000764CC" w:rsidRDefault="000764CC" w:rsidP="000764CC">
            <w:pPr>
              <w:spacing w:before="60"/>
              <w:jc w:val="center"/>
              <w:rPr>
                <w:rFonts w:cs="Arial"/>
                <w:szCs w:val="21"/>
              </w:rPr>
            </w:pPr>
            <w:r w:rsidRPr="000764CC">
              <w:rPr>
                <w:rFonts w:cs="Arial"/>
                <w:szCs w:val="21"/>
              </w:rPr>
              <w:t>C</w:t>
            </w:r>
          </w:p>
        </w:tc>
        <w:tc>
          <w:tcPr>
            <w:tcW w:w="1940" w:type="dxa"/>
            <w:shd w:val="clear" w:color="auto" w:fill="FFFFFF" w:themeFill="background1"/>
            <w:vAlign w:val="center"/>
            <w:hideMark/>
          </w:tcPr>
          <w:p w14:paraId="55157EE5" w14:textId="77777777" w:rsidR="000764CC" w:rsidRPr="000764CC" w:rsidRDefault="000764CC" w:rsidP="000764CC">
            <w:pPr>
              <w:spacing w:before="60"/>
              <w:jc w:val="center"/>
              <w:rPr>
                <w:rFonts w:cs="Arial"/>
                <w:szCs w:val="21"/>
              </w:rPr>
            </w:pPr>
            <w:r w:rsidRPr="000764CC">
              <w:rPr>
                <w:rFonts w:cs="Arial"/>
                <w:szCs w:val="21"/>
              </w:rPr>
              <w:t>I</w:t>
            </w:r>
          </w:p>
        </w:tc>
        <w:tc>
          <w:tcPr>
            <w:tcW w:w="0" w:type="auto"/>
            <w:shd w:val="clear" w:color="auto" w:fill="FFFFFF" w:themeFill="background1"/>
            <w:vAlign w:val="center"/>
            <w:hideMark/>
          </w:tcPr>
          <w:p w14:paraId="34B201F7" w14:textId="77777777" w:rsidR="000764CC" w:rsidRPr="000764CC" w:rsidRDefault="000764CC" w:rsidP="000764CC">
            <w:pPr>
              <w:spacing w:before="60"/>
              <w:jc w:val="center"/>
              <w:rPr>
                <w:rFonts w:cs="Arial"/>
                <w:szCs w:val="21"/>
              </w:rPr>
            </w:pPr>
            <w:r w:rsidRPr="000764CC">
              <w:rPr>
                <w:rFonts w:cs="Arial"/>
                <w:szCs w:val="21"/>
              </w:rPr>
              <w:t>I</w:t>
            </w:r>
          </w:p>
        </w:tc>
        <w:tc>
          <w:tcPr>
            <w:tcW w:w="0" w:type="auto"/>
            <w:shd w:val="clear" w:color="auto" w:fill="FFFFFF" w:themeFill="background1"/>
            <w:vAlign w:val="center"/>
            <w:hideMark/>
          </w:tcPr>
          <w:p w14:paraId="2C02345A" w14:textId="77777777" w:rsidR="000764CC" w:rsidRPr="000764CC" w:rsidRDefault="000764CC" w:rsidP="000764CC">
            <w:pPr>
              <w:spacing w:before="60"/>
              <w:jc w:val="center"/>
              <w:rPr>
                <w:rFonts w:cs="Arial"/>
                <w:szCs w:val="21"/>
              </w:rPr>
            </w:pPr>
            <w:r w:rsidRPr="000764CC">
              <w:rPr>
                <w:rFonts w:cs="Arial"/>
                <w:szCs w:val="21"/>
              </w:rPr>
              <w:t>A</w:t>
            </w:r>
          </w:p>
        </w:tc>
      </w:tr>
      <w:tr w:rsidR="002F3053" w:rsidRPr="000764CC" w14:paraId="38E5863F" w14:textId="77777777" w:rsidTr="00054E3D">
        <w:tc>
          <w:tcPr>
            <w:tcW w:w="0" w:type="auto"/>
            <w:shd w:val="clear" w:color="auto" w:fill="FFFFFF" w:themeFill="background1"/>
            <w:vAlign w:val="center"/>
            <w:hideMark/>
          </w:tcPr>
          <w:p w14:paraId="54EBFE95" w14:textId="77777777" w:rsidR="000764CC" w:rsidRPr="000764CC" w:rsidRDefault="000764CC" w:rsidP="000764CC">
            <w:pPr>
              <w:spacing w:before="60"/>
              <w:rPr>
                <w:rFonts w:cs="Arial"/>
                <w:b/>
                <w:bCs/>
                <w:szCs w:val="21"/>
              </w:rPr>
            </w:pPr>
            <w:r w:rsidRPr="000764CC">
              <w:rPr>
                <w:rFonts w:cs="Arial"/>
                <w:b/>
                <w:bCs/>
                <w:szCs w:val="21"/>
              </w:rPr>
              <w:t>Change Control (CCB)</w:t>
            </w:r>
          </w:p>
        </w:tc>
        <w:tc>
          <w:tcPr>
            <w:tcW w:w="0" w:type="auto"/>
            <w:shd w:val="clear" w:color="auto" w:fill="FFFFFF" w:themeFill="background1"/>
            <w:vAlign w:val="center"/>
            <w:hideMark/>
          </w:tcPr>
          <w:p w14:paraId="7C926FC5" w14:textId="77777777" w:rsidR="000764CC" w:rsidRPr="000764CC" w:rsidRDefault="000764CC" w:rsidP="000764CC">
            <w:pPr>
              <w:spacing w:before="60"/>
              <w:jc w:val="center"/>
              <w:rPr>
                <w:rFonts w:cs="Arial"/>
                <w:szCs w:val="21"/>
              </w:rPr>
            </w:pPr>
            <w:r w:rsidRPr="000764CC">
              <w:rPr>
                <w:rFonts w:cs="Arial"/>
                <w:szCs w:val="21"/>
              </w:rPr>
              <w:t>C</w:t>
            </w:r>
          </w:p>
        </w:tc>
        <w:tc>
          <w:tcPr>
            <w:tcW w:w="1262" w:type="dxa"/>
            <w:shd w:val="clear" w:color="auto" w:fill="FFFFFF" w:themeFill="background1"/>
            <w:vAlign w:val="center"/>
            <w:hideMark/>
          </w:tcPr>
          <w:p w14:paraId="18D6CA03" w14:textId="77777777" w:rsidR="000764CC" w:rsidRPr="000764CC" w:rsidRDefault="000764CC" w:rsidP="000764CC">
            <w:pPr>
              <w:spacing w:before="60"/>
              <w:jc w:val="center"/>
              <w:rPr>
                <w:rFonts w:cs="Arial"/>
                <w:szCs w:val="21"/>
              </w:rPr>
            </w:pPr>
            <w:r w:rsidRPr="000764CC">
              <w:rPr>
                <w:rFonts w:cs="Arial"/>
                <w:szCs w:val="21"/>
              </w:rPr>
              <w:t>R</w:t>
            </w:r>
          </w:p>
        </w:tc>
        <w:tc>
          <w:tcPr>
            <w:tcW w:w="1940" w:type="dxa"/>
            <w:shd w:val="clear" w:color="auto" w:fill="FFFFFF" w:themeFill="background1"/>
            <w:vAlign w:val="center"/>
            <w:hideMark/>
          </w:tcPr>
          <w:p w14:paraId="031088DF" w14:textId="77777777" w:rsidR="000764CC" w:rsidRPr="000764CC" w:rsidRDefault="000764CC" w:rsidP="000764CC">
            <w:pPr>
              <w:spacing w:before="60"/>
              <w:jc w:val="center"/>
              <w:rPr>
                <w:rFonts w:cs="Arial"/>
                <w:szCs w:val="21"/>
              </w:rPr>
            </w:pPr>
            <w:r w:rsidRPr="000764CC">
              <w:rPr>
                <w:rFonts w:cs="Arial"/>
                <w:szCs w:val="21"/>
              </w:rPr>
              <w:t>C</w:t>
            </w:r>
          </w:p>
        </w:tc>
        <w:tc>
          <w:tcPr>
            <w:tcW w:w="0" w:type="auto"/>
            <w:shd w:val="clear" w:color="auto" w:fill="FFFFFF" w:themeFill="background1"/>
            <w:vAlign w:val="center"/>
            <w:hideMark/>
          </w:tcPr>
          <w:p w14:paraId="2C5F73D5" w14:textId="77777777" w:rsidR="000764CC" w:rsidRPr="000764CC" w:rsidRDefault="000764CC" w:rsidP="000764CC">
            <w:pPr>
              <w:spacing w:before="60"/>
              <w:jc w:val="center"/>
              <w:rPr>
                <w:rFonts w:cs="Arial"/>
                <w:szCs w:val="21"/>
              </w:rPr>
            </w:pPr>
            <w:r w:rsidRPr="000764CC">
              <w:rPr>
                <w:rFonts w:cs="Arial"/>
                <w:szCs w:val="21"/>
              </w:rPr>
              <w:t>C</w:t>
            </w:r>
          </w:p>
        </w:tc>
        <w:tc>
          <w:tcPr>
            <w:tcW w:w="0" w:type="auto"/>
            <w:shd w:val="clear" w:color="auto" w:fill="FFFFFF" w:themeFill="background1"/>
            <w:vAlign w:val="center"/>
            <w:hideMark/>
          </w:tcPr>
          <w:p w14:paraId="64EB7B49" w14:textId="77777777" w:rsidR="000764CC" w:rsidRPr="000764CC" w:rsidRDefault="000764CC" w:rsidP="000764CC">
            <w:pPr>
              <w:spacing w:before="60"/>
              <w:jc w:val="center"/>
              <w:rPr>
                <w:rFonts w:cs="Arial"/>
                <w:szCs w:val="21"/>
              </w:rPr>
            </w:pPr>
            <w:r w:rsidRPr="000764CC">
              <w:rPr>
                <w:rFonts w:cs="Arial"/>
                <w:szCs w:val="21"/>
              </w:rPr>
              <w:t>A</w:t>
            </w:r>
          </w:p>
        </w:tc>
      </w:tr>
      <w:tr w:rsidR="002F3053" w:rsidRPr="000764CC" w14:paraId="2DBEB4BA" w14:textId="77777777" w:rsidTr="00054E3D">
        <w:tc>
          <w:tcPr>
            <w:tcW w:w="0" w:type="auto"/>
            <w:shd w:val="clear" w:color="auto" w:fill="FFFFFF" w:themeFill="background1"/>
            <w:vAlign w:val="center"/>
            <w:hideMark/>
          </w:tcPr>
          <w:p w14:paraId="585BF9D9" w14:textId="77777777" w:rsidR="000764CC" w:rsidRPr="000764CC" w:rsidRDefault="000764CC" w:rsidP="000764CC">
            <w:pPr>
              <w:spacing w:before="60"/>
              <w:rPr>
                <w:rFonts w:cs="Arial"/>
                <w:b/>
                <w:bCs/>
                <w:szCs w:val="21"/>
              </w:rPr>
            </w:pPr>
            <w:r w:rsidRPr="000764CC">
              <w:rPr>
                <w:rFonts w:cs="Arial"/>
                <w:b/>
                <w:bCs/>
                <w:szCs w:val="21"/>
              </w:rPr>
              <w:t>Release Readiness Review</w:t>
            </w:r>
          </w:p>
        </w:tc>
        <w:tc>
          <w:tcPr>
            <w:tcW w:w="0" w:type="auto"/>
            <w:shd w:val="clear" w:color="auto" w:fill="FFFFFF" w:themeFill="background1"/>
            <w:vAlign w:val="center"/>
            <w:hideMark/>
          </w:tcPr>
          <w:p w14:paraId="5B8CE74D" w14:textId="77777777" w:rsidR="000764CC" w:rsidRPr="000764CC" w:rsidRDefault="000764CC" w:rsidP="000764CC">
            <w:pPr>
              <w:spacing w:before="60"/>
              <w:jc w:val="center"/>
              <w:rPr>
                <w:rFonts w:cs="Arial"/>
                <w:szCs w:val="21"/>
              </w:rPr>
            </w:pPr>
            <w:r w:rsidRPr="000764CC">
              <w:rPr>
                <w:rFonts w:cs="Arial"/>
                <w:szCs w:val="21"/>
              </w:rPr>
              <w:t>R/A</w:t>
            </w:r>
          </w:p>
        </w:tc>
        <w:tc>
          <w:tcPr>
            <w:tcW w:w="1262" w:type="dxa"/>
            <w:shd w:val="clear" w:color="auto" w:fill="FFFFFF" w:themeFill="background1"/>
            <w:vAlign w:val="center"/>
            <w:hideMark/>
          </w:tcPr>
          <w:p w14:paraId="47925D46" w14:textId="77777777" w:rsidR="000764CC" w:rsidRPr="000764CC" w:rsidRDefault="000764CC" w:rsidP="000764CC">
            <w:pPr>
              <w:spacing w:before="60"/>
              <w:jc w:val="center"/>
              <w:rPr>
                <w:rFonts w:cs="Arial"/>
                <w:szCs w:val="21"/>
              </w:rPr>
            </w:pPr>
            <w:r w:rsidRPr="000764CC">
              <w:rPr>
                <w:rFonts w:cs="Arial"/>
                <w:szCs w:val="21"/>
              </w:rPr>
              <w:t>R</w:t>
            </w:r>
          </w:p>
        </w:tc>
        <w:tc>
          <w:tcPr>
            <w:tcW w:w="1940" w:type="dxa"/>
            <w:shd w:val="clear" w:color="auto" w:fill="FFFFFF" w:themeFill="background1"/>
            <w:vAlign w:val="center"/>
            <w:hideMark/>
          </w:tcPr>
          <w:p w14:paraId="55111A46" w14:textId="77777777" w:rsidR="000764CC" w:rsidRPr="000764CC" w:rsidRDefault="000764CC" w:rsidP="000764CC">
            <w:pPr>
              <w:spacing w:before="60"/>
              <w:jc w:val="center"/>
              <w:rPr>
                <w:rFonts w:cs="Arial"/>
                <w:szCs w:val="21"/>
              </w:rPr>
            </w:pPr>
            <w:r w:rsidRPr="000764CC">
              <w:rPr>
                <w:rFonts w:cs="Arial"/>
                <w:szCs w:val="21"/>
              </w:rPr>
              <w:t>C</w:t>
            </w:r>
          </w:p>
        </w:tc>
        <w:tc>
          <w:tcPr>
            <w:tcW w:w="0" w:type="auto"/>
            <w:shd w:val="clear" w:color="auto" w:fill="FFFFFF" w:themeFill="background1"/>
            <w:vAlign w:val="center"/>
            <w:hideMark/>
          </w:tcPr>
          <w:p w14:paraId="0C29D316" w14:textId="77777777" w:rsidR="000764CC" w:rsidRPr="000764CC" w:rsidRDefault="000764CC" w:rsidP="000764CC">
            <w:pPr>
              <w:spacing w:before="60"/>
              <w:jc w:val="center"/>
              <w:rPr>
                <w:rFonts w:cs="Arial"/>
                <w:szCs w:val="21"/>
              </w:rPr>
            </w:pPr>
            <w:r w:rsidRPr="000764CC">
              <w:rPr>
                <w:rFonts w:cs="Arial"/>
                <w:szCs w:val="21"/>
              </w:rPr>
              <w:t>C</w:t>
            </w:r>
          </w:p>
        </w:tc>
        <w:tc>
          <w:tcPr>
            <w:tcW w:w="0" w:type="auto"/>
            <w:shd w:val="clear" w:color="auto" w:fill="FFFFFF" w:themeFill="background1"/>
            <w:vAlign w:val="center"/>
            <w:hideMark/>
          </w:tcPr>
          <w:p w14:paraId="3B93BCCC" w14:textId="77777777" w:rsidR="000764CC" w:rsidRPr="000764CC" w:rsidRDefault="000764CC" w:rsidP="000764CC">
            <w:pPr>
              <w:spacing w:before="60"/>
              <w:jc w:val="center"/>
              <w:rPr>
                <w:rFonts w:cs="Arial"/>
                <w:szCs w:val="21"/>
              </w:rPr>
            </w:pPr>
            <w:r w:rsidRPr="000764CC">
              <w:rPr>
                <w:rFonts w:cs="Arial"/>
                <w:szCs w:val="21"/>
              </w:rPr>
              <w:t>A</w:t>
            </w:r>
          </w:p>
        </w:tc>
      </w:tr>
      <w:tr w:rsidR="002F3053" w:rsidRPr="000764CC" w14:paraId="3E3735A5" w14:textId="77777777" w:rsidTr="00054E3D">
        <w:tc>
          <w:tcPr>
            <w:tcW w:w="0" w:type="auto"/>
            <w:shd w:val="clear" w:color="auto" w:fill="FFFFFF" w:themeFill="background1"/>
            <w:vAlign w:val="center"/>
            <w:hideMark/>
          </w:tcPr>
          <w:p w14:paraId="08281C84" w14:textId="77777777" w:rsidR="000764CC" w:rsidRPr="000764CC" w:rsidRDefault="000764CC" w:rsidP="000764CC">
            <w:pPr>
              <w:spacing w:before="60"/>
              <w:rPr>
                <w:rFonts w:cs="Arial"/>
                <w:b/>
                <w:bCs/>
                <w:szCs w:val="21"/>
              </w:rPr>
            </w:pPr>
            <w:r w:rsidRPr="000764CC">
              <w:rPr>
                <w:rFonts w:cs="Arial"/>
                <w:b/>
                <w:bCs/>
                <w:szCs w:val="21"/>
              </w:rPr>
              <w:t>Reporting &amp; Dashboards</w:t>
            </w:r>
          </w:p>
        </w:tc>
        <w:tc>
          <w:tcPr>
            <w:tcW w:w="0" w:type="auto"/>
            <w:shd w:val="clear" w:color="auto" w:fill="FFFFFF" w:themeFill="background1"/>
            <w:vAlign w:val="center"/>
            <w:hideMark/>
          </w:tcPr>
          <w:p w14:paraId="05DA985F" w14:textId="77777777" w:rsidR="000764CC" w:rsidRPr="000764CC" w:rsidRDefault="000764CC" w:rsidP="000764CC">
            <w:pPr>
              <w:spacing w:before="60"/>
              <w:jc w:val="center"/>
              <w:rPr>
                <w:rFonts w:cs="Arial"/>
                <w:szCs w:val="21"/>
              </w:rPr>
            </w:pPr>
            <w:r w:rsidRPr="000764CC">
              <w:rPr>
                <w:rFonts w:cs="Arial"/>
                <w:szCs w:val="21"/>
              </w:rPr>
              <w:t>R/A</w:t>
            </w:r>
          </w:p>
        </w:tc>
        <w:tc>
          <w:tcPr>
            <w:tcW w:w="1262" w:type="dxa"/>
            <w:shd w:val="clear" w:color="auto" w:fill="FFFFFF" w:themeFill="background1"/>
            <w:vAlign w:val="center"/>
            <w:hideMark/>
          </w:tcPr>
          <w:p w14:paraId="2E1432A1" w14:textId="77777777" w:rsidR="000764CC" w:rsidRPr="000764CC" w:rsidRDefault="000764CC" w:rsidP="000764CC">
            <w:pPr>
              <w:spacing w:before="60"/>
              <w:jc w:val="center"/>
              <w:rPr>
                <w:rFonts w:cs="Arial"/>
                <w:szCs w:val="21"/>
              </w:rPr>
            </w:pPr>
            <w:r w:rsidRPr="000764CC">
              <w:rPr>
                <w:rFonts w:cs="Arial"/>
                <w:szCs w:val="21"/>
              </w:rPr>
              <w:t>C</w:t>
            </w:r>
          </w:p>
        </w:tc>
        <w:tc>
          <w:tcPr>
            <w:tcW w:w="1940" w:type="dxa"/>
            <w:shd w:val="clear" w:color="auto" w:fill="FFFFFF" w:themeFill="background1"/>
            <w:vAlign w:val="center"/>
            <w:hideMark/>
          </w:tcPr>
          <w:p w14:paraId="57E71437" w14:textId="77777777" w:rsidR="000764CC" w:rsidRPr="000764CC" w:rsidRDefault="000764CC" w:rsidP="000764CC">
            <w:pPr>
              <w:spacing w:before="60"/>
              <w:jc w:val="center"/>
              <w:rPr>
                <w:rFonts w:cs="Arial"/>
                <w:szCs w:val="21"/>
              </w:rPr>
            </w:pPr>
            <w:r w:rsidRPr="000764CC">
              <w:rPr>
                <w:rFonts w:cs="Arial"/>
                <w:szCs w:val="21"/>
              </w:rPr>
              <w:t>C</w:t>
            </w:r>
          </w:p>
        </w:tc>
        <w:tc>
          <w:tcPr>
            <w:tcW w:w="0" w:type="auto"/>
            <w:shd w:val="clear" w:color="auto" w:fill="FFFFFF" w:themeFill="background1"/>
            <w:vAlign w:val="center"/>
            <w:hideMark/>
          </w:tcPr>
          <w:p w14:paraId="56FF77FE" w14:textId="77777777" w:rsidR="000764CC" w:rsidRPr="000764CC" w:rsidRDefault="000764CC" w:rsidP="000764CC">
            <w:pPr>
              <w:spacing w:before="60"/>
              <w:jc w:val="center"/>
              <w:rPr>
                <w:rFonts w:cs="Arial"/>
                <w:szCs w:val="21"/>
              </w:rPr>
            </w:pPr>
            <w:r w:rsidRPr="000764CC">
              <w:rPr>
                <w:rFonts w:cs="Arial"/>
                <w:szCs w:val="21"/>
              </w:rPr>
              <w:t>C</w:t>
            </w:r>
          </w:p>
        </w:tc>
        <w:tc>
          <w:tcPr>
            <w:tcW w:w="0" w:type="auto"/>
            <w:shd w:val="clear" w:color="auto" w:fill="FFFFFF" w:themeFill="background1"/>
            <w:vAlign w:val="center"/>
            <w:hideMark/>
          </w:tcPr>
          <w:p w14:paraId="21AB2856" w14:textId="77777777" w:rsidR="000764CC" w:rsidRPr="000764CC" w:rsidRDefault="000764CC" w:rsidP="000764CC">
            <w:pPr>
              <w:spacing w:before="60"/>
              <w:jc w:val="center"/>
              <w:rPr>
                <w:rFonts w:cs="Arial"/>
                <w:szCs w:val="21"/>
              </w:rPr>
            </w:pPr>
            <w:r w:rsidRPr="000764CC">
              <w:rPr>
                <w:rFonts w:cs="Arial"/>
                <w:szCs w:val="21"/>
              </w:rPr>
              <w:t>I</w:t>
            </w:r>
          </w:p>
        </w:tc>
      </w:tr>
    </w:tbl>
    <w:p w14:paraId="6711E2F1" w14:textId="77777777" w:rsidR="000764CC" w:rsidRPr="000764CC" w:rsidRDefault="000764CC" w:rsidP="00054E3D">
      <w:pPr>
        <w:spacing w:before="120" w:after="120"/>
        <w:rPr>
          <w:rFonts w:cs="Arial"/>
          <w:i/>
          <w:iCs/>
          <w:color w:val="0D0D0D" w:themeColor="text1" w:themeTint="F2"/>
          <w:szCs w:val="21"/>
        </w:rPr>
      </w:pPr>
      <w:r w:rsidRPr="000764CC">
        <w:rPr>
          <w:rFonts w:cs="Arial"/>
          <w:i/>
          <w:iCs/>
          <w:color w:val="0D0D0D" w:themeColor="text1" w:themeTint="F2"/>
          <w:szCs w:val="21"/>
        </w:rPr>
        <w:t>(R = Responsible, A = Accountable, C = Consulted, I = Informed)</w:t>
      </w:r>
    </w:p>
    <w:p w14:paraId="343C15E3" w14:textId="77777777" w:rsidR="000764CC" w:rsidRPr="000764CC" w:rsidRDefault="000764CC" w:rsidP="00054E3D">
      <w:pPr>
        <w:spacing w:before="120" w:after="120"/>
        <w:rPr>
          <w:rFonts w:cstheme="minorHAnsi"/>
          <w:color w:val="auto"/>
          <w:szCs w:val="21"/>
        </w:rPr>
      </w:pPr>
      <w:r w:rsidRPr="000764CC">
        <w:rPr>
          <w:rFonts w:cstheme="minorHAnsi"/>
          <w:color w:val="auto"/>
          <w:szCs w:val="21"/>
        </w:rPr>
        <w:t xml:space="preserve">This framework ensures </w:t>
      </w:r>
      <w:r w:rsidRPr="000764CC">
        <w:rPr>
          <w:rFonts w:cstheme="minorHAnsi"/>
          <w:b/>
          <w:bCs/>
          <w:color w:val="auto"/>
          <w:szCs w:val="21"/>
        </w:rPr>
        <w:t>transparency of ownership, consistent escalation, and proactive issue resolution</w:t>
      </w:r>
      <w:r w:rsidRPr="000764CC">
        <w:rPr>
          <w:rFonts w:cstheme="minorHAnsi"/>
          <w:color w:val="auto"/>
          <w:szCs w:val="21"/>
        </w:rPr>
        <w:t xml:space="preserve"> </w:t>
      </w:r>
      <w:r w:rsidRPr="000764CC">
        <w:rPr>
          <w:rFonts w:cs="Arial"/>
          <w:color w:val="0D0D0D" w:themeColor="text1" w:themeTint="F2"/>
          <w:szCs w:val="21"/>
        </w:rPr>
        <w:t>across</w:t>
      </w:r>
      <w:r w:rsidRPr="000764CC">
        <w:rPr>
          <w:rFonts w:cstheme="minorHAnsi"/>
          <w:color w:val="auto"/>
          <w:szCs w:val="21"/>
        </w:rPr>
        <w:t xml:space="preserve"> all contractors.</w:t>
      </w:r>
    </w:p>
    <w:p w14:paraId="0020733F" w14:textId="77777777" w:rsidR="000764CC" w:rsidRPr="000764CC" w:rsidRDefault="000764CC" w:rsidP="00054E3D">
      <w:pPr>
        <w:spacing w:before="120" w:after="120"/>
        <w:rPr>
          <w:rFonts w:cstheme="minorHAnsi"/>
          <w:color w:val="auto"/>
          <w:szCs w:val="21"/>
        </w:rPr>
      </w:pPr>
      <w:r w:rsidRPr="000764CC">
        <w:rPr>
          <w:rFonts w:cstheme="minorHAnsi"/>
          <w:color w:val="auto"/>
          <w:szCs w:val="21"/>
        </w:rPr>
        <w:t xml:space="preserve">IBM also conducts a detailed review of each contractor’s Statement of Work (SOW) and interface </w:t>
      </w:r>
      <w:r w:rsidRPr="000764CC">
        <w:rPr>
          <w:rFonts w:cs="Arial"/>
          <w:color w:val="0D0D0D" w:themeColor="text1" w:themeTint="F2"/>
          <w:szCs w:val="21"/>
        </w:rPr>
        <w:t>documentation</w:t>
      </w:r>
      <w:r w:rsidRPr="000764CC">
        <w:rPr>
          <w:rFonts w:cstheme="minorHAnsi"/>
          <w:color w:val="auto"/>
          <w:szCs w:val="21"/>
        </w:rPr>
        <w:t xml:space="preserve"> during onboarding to validate alignment and eliminate gray areas. This preserves IBM’s </w:t>
      </w:r>
      <w:r w:rsidRPr="000764CC">
        <w:rPr>
          <w:rFonts w:cstheme="minorHAnsi"/>
          <w:b/>
          <w:bCs/>
          <w:color w:val="auto"/>
          <w:szCs w:val="21"/>
        </w:rPr>
        <w:t>independence as QA</w:t>
      </w:r>
      <w:r w:rsidRPr="000764CC">
        <w:rPr>
          <w:rFonts w:cstheme="minorHAnsi"/>
          <w:color w:val="auto"/>
          <w:szCs w:val="21"/>
        </w:rPr>
        <w:t xml:space="preserve">, while ensuring </w:t>
      </w:r>
      <w:r w:rsidRPr="000764CC">
        <w:rPr>
          <w:rFonts w:cstheme="minorHAnsi"/>
          <w:b/>
          <w:bCs/>
          <w:color w:val="auto"/>
          <w:szCs w:val="21"/>
        </w:rPr>
        <w:t>integration within the PMO structure</w:t>
      </w:r>
      <w:r w:rsidRPr="000764CC">
        <w:rPr>
          <w:rFonts w:cstheme="minorHAnsi"/>
          <w:color w:val="auto"/>
          <w:szCs w:val="21"/>
        </w:rPr>
        <w:t>—supporting accountability without isolation.</w:t>
      </w:r>
    </w:p>
    <w:p w14:paraId="77F1D9D3" w14:textId="23AE4017" w:rsidR="000764CC" w:rsidRPr="000764CC" w:rsidRDefault="000764CC" w:rsidP="000764CC">
      <w:pPr>
        <w:spacing w:before="120"/>
        <w:ind w:left="360" w:hanging="360"/>
        <w:rPr>
          <w:rFonts w:cstheme="minorHAnsi"/>
          <w:b/>
          <w:bCs/>
          <w:color w:val="auto"/>
        </w:rPr>
      </w:pPr>
      <w:r w:rsidRPr="000764CC">
        <w:rPr>
          <w:rFonts w:cstheme="minorHAnsi"/>
          <w:b/>
          <w:bCs/>
          <w:color w:val="auto"/>
        </w:rPr>
        <w:t>2.</w:t>
      </w:r>
      <w:r w:rsidRPr="000764CC">
        <w:rPr>
          <w:rFonts w:cstheme="minorHAnsi"/>
          <w:b/>
          <w:bCs/>
          <w:color w:val="auto"/>
        </w:rPr>
        <w:tab/>
        <w:t>Collaboration Cadence within CalSAWS Governance</w:t>
      </w:r>
    </w:p>
    <w:p w14:paraId="143E7EB9" w14:textId="77777777" w:rsidR="000764CC" w:rsidRPr="000764CC" w:rsidRDefault="000764CC" w:rsidP="00054E3D">
      <w:pPr>
        <w:spacing w:before="120" w:after="120"/>
        <w:rPr>
          <w:rFonts w:cstheme="minorHAnsi"/>
          <w:color w:val="auto"/>
          <w:szCs w:val="21"/>
        </w:rPr>
      </w:pPr>
      <w:r w:rsidRPr="000764CC">
        <w:rPr>
          <w:rFonts w:cstheme="minorHAnsi"/>
          <w:color w:val="auto"/>
          <w:szCs w:val="21"/>
        </w:rPr>
        <w:t xml:space="preserve">Effective QA coordination within CalSAWS requires more than meetings—it requires a </w:t>
      </w:r>
      <w:r w:rsidRPr="000764CC">
        <w:rPr>
          <w:rFonts w:cstheme="minorHAnsi"/>
          <w:b/>
          <w:bCs/>
          <w:color w:val="auto"/>
          <w:szCs w:val="21"/>
        </w:rPr>
        <w:t>sustained rhythm of collaboration</w:t>
      </w:r>
      <w:r w:rsidRPr="000764CC">
        <w:rPr>
          <w:rFonts w:cstheme="minorHAnsi"/>
          <w:color w:val="auto"/>
          <w:szCs w:val="21"/>
        </w:rPr>
        <w:t xml:space="preserve"> that reinforces shared accountability across contractors. IBM aligns its </w:t>
      </w:r>
      <w:r w:rsidRPr="000764CC">
        <w:rPr>
          <w:rFonts w:cs="Arial"/>
          <w:color w:val="0D0D0D" w:themeColor="text1" w:themeTint="F2"/>
          <w:szCs w:val="21"/>
        </w:rPr>
        <w:t>cadence</w:t>
      </w:r>
      <w:r w:rsidRPr="000764CC">
        <w:rPr>
          <w:rFonts w:cstheme="minorHAnsi"/>
          <w:color w:val="auto"/>
          <w:szCs w:val="21"/>
        </w:rPr>
        <w:t xml:space="preserve"> to </w:t>
      </w:r>
      <w:r w:rsidRPr="000764CC">
        <w:rPr>
          <w:rFonts w:cstheme="minorHAnsi"/>
          <w:b/>
          <w:bCs/>
          <w:color w:val="auto"/>
          <w:szCs w:val="21"/>
        </w:rPr>
        <w:t>complement, not duplicate</w:t>
      </w:r>
      <w:r w:rsidRPr="000764CC">
        <w:rPr>
          <w:rFonts w:cstheme="minorHAnsi"/>
          <w:color w:val="auto"/>
          <w:szCs w:val="21"/>
        </w:rPr>
        <w:t>, the Consortium’s established governance structure and communication model.</w:t>
      </w:r>
    </w:p>
    <w:p w14:paraId="6DC49230" w14:textId="77777777" w:rsidR="00DB5549" w:rsidRPr="00F92D4D" w:rsidRDefault="00DB5549" w:rsidP="00054E3D">
      <w:pPr>
        <w:spacing w:before="100" w:beforeAutospacing="1" w:after="100" w:afterAutospacing="1"/>
        <w:rPr>
          <w:color w:val="000000"/>
          <w:lang w:eastAsia="en-US"/>
        </w:rPr>
      </w:pPr>
      <w:r w:rsidRPr="00F92D4D">
        <w:rPr>
          <w:color w:val="000000"/>
          <w:lang w:eastAsia="en-US"/>
        </w:rPr>
        <w:lastRenderedPageBreak/>
        <w:t>Drawing from experience across large, multi-vendor programs such as California MMIS, CWS CARES, and Arizona DES, IBM understands that QA success in environments like CalSAWS depends on structured governance rather than ad hoc coordination. Effective QA extends beyond post-development validation; it is embedded throughout planning, development, and release to foster shared understanding and unified delivery.</w:t>
      </w:r>
    </w:p>
    <w:p w14:paraId="5EFCE0B2" w14:textId="77777777" w:rsidR="003C46E5" w:rsidRPr="00F92D4D" w:rsidRDefault="003C46E5" w:rsidP="00054E3D">
      <w:pPr>
        <w:spacing w:before="100" w:beforeAutospacing="1" w:after="100" w:afterAutospacing="1"/>
        <w:rPr>
          <w:color w:val="000000"/>
          <w:lang w:eastAsia="en-US"/>
        </w:rPr>
      </w:pPr>
      <w:r w:rsidRPr="00F92D4D">
        <w:rPr>
          <w:color w:val="000000"/>
          <w:lang w:eastAsia="en-US"/>
        </w:rPr>
        <w:t>The Consortium’s question highlights a central goal: ensuring clear, collaborative alignment of Quality Assurance (QA) responsibilities across all contractors within the CalSAWS ecosystem. The Consortium seeks a QA partner that is both independent and integrative—able to maintain objectivity while reinforcing coordination, accountability, and transparency among the Maintenance and Enhancement (M&amp;E), Infrastructure, and BenefitsCal contractors under the CalSAWS PMO.</w:t>
      </w:r>
    </w:p>
    <w:p w14:paraId="05D51424" w14:textId="7960BBE4" w:rsidR="000764CC" w:rsidRPr="000764CC" w:rsidRDefault="000764CC" w:rsidP="00A1545B">
      <w:pPr>
        <w:spacing w:before="120" w:after="120"/>
        <w:rPr>
          <w:rFonts w:cstheme="minorHAnsi"/>
          <w:color w:val="auto"/>
          <w:szCs w:val="21"/>
        </w:rPr>
      </w:pPr>
      <w:r w:rsidRPr="000764CC">
        <w:rPr>
          <w:rFonts w:cstheme="minorHAnsi"/>
          <w:color w:val="auto"/>
          <w:szCs w:val="21"/>
        </w:rPr>
        <w:t xml:space="preserve">Our goal is to strengthen the CalSAWS Collaboration Model through </w:t>
      </w:r>
      <w:r w:rsidRPr="000764CC">
        <w:rPr>
          <w:rFonts w:cstheme="minorHAnsi"/>
          <w:b/>
          <w:bCs/>
          <w:color w:val="auto"/>
          <w:szCs w:val="21"/>
        </w:rPr>
        <w:t>early engagement, transparent communication, and consistent integration</w:t>
      </w:r>
      <w:r w:rsidRPr="000764CC">
        <w:rPr>
          <w:rFonts w:cstheme="minorHAnsi"/>
          <w:color w:val="auto"/>
          <w:szCs w:val="21"/>
        </w:rPr>
        <w:t xml:space="preserve"> at </w:t>
      </w:r>
      <w:r w:rsidR="0014208D" w:rsidRPr="000764CC">
        <w:rPr>
          <w:rFonts w:cstheme="minorHAnsi"/>
          <w:color w:val="auto"/>
          <w:szCs w:val="21"/>
        </w:rPr>
        <w:t>tactical</w:t>
      </w:r>
      <w:r w:rsidRPr="000764CC">
        <w:rPr>
          <w:rFonts w:cstheme="minorHAnsi"/>
          <w:color w:val="auto"/>
          <w:szCs w:val="21"/>
        </w:rPr>
        <w:t>, operational, and strategic levels. This cadence ensures that QA activities are synchronized with PMO decision-making, vendor delivery cycles, and county readiness planning.</w:t>
      </w:r>
    </w:p>
    <w:p w14:paraId="087EE43A" w14:textId="7595F518" w:rsidR="00A1545B" w:rsidRDefault="00A1545B" w:rsidP="00A1545B">
      <w:pPr>
        <w:pStyle w:val="Caption"/>
        <w:keepNext/>
        <w:jc w:val="center"/>
      </w:pPr>
      <w:bookmarkStart w:id="26" w:name="_Toc213069366"/>
      <w:r>
        <w:t xml:space="preserve">Table 4.2.1. </w:t>
      </w:r>
      <w:r>
        <w:fldChar w:fldCharType="begin"/>
      </w:r>
      <w:r>
        <w:instrText xml:space="preserve"> SEQ Table_4.2.1. \* ARABIC </w:instrText>
      </w:r>
      <w:r>
        <w:fldChar w:fldCharType="separate"/>
      </w:r>
      <w:r>
        <w:rPr>
          <w:noProof/>
        </w:rPr>
        <w:t>2</w:t>
      </w:r>
      <w:r>
        <w:fldChar w:fldCharType="end"/>
      </w:r>
      <w:r>
        <w:t xml:space="preserve"> Proposed Collaboration Cadence (</w:t>
      </w:r>
      <w:r w:rsidR="00B56B45">
        <w:t>tailored</w:t>
      </w:r>
      <w:r>
        <w:t xml:space="preserve"> to PMO structure)</w:t>
      </w:r>
      <w:bookmarkEnd w:id="26"/>
    </w:p>
    <w:tbl>
      <w:tblPr>
        <w:tblStyle w:val="TableGrid"/>
        <w:tblW w:w="9345" w:type="dxa"/>
        <w:tblInd w:w="-4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43" w:type="dxa"/>
          <w:right w:w="43" w:type="dxa"/>
        </w:tblCellMar>
        <w:tblLook w:val="04A0" w:firstRow="1" w:lastRow="0" w:firstColumn="1" w:lastColumn="0" w:noHBand="0" w:noVBand="1"/>
      </w:tblPr>
      <w:tblGrid>
        <w:gridCol w:w="2074"/>
        <w:gridCol w:w="1336"/>
        <w:gridCol w:w="2090"/>
        <w:gridCol w:w="3845"/>
      </w:tblGrid>
      <w:tr w:rsidR="008F100E" w:rsidRPr="000764CC" w14:paraId="68D14D32" w14:textId="77777777" w:rsidTr="00054E3D">
        <w:trPr>
          <w:cnfStyle w:val="100000000000" w:firstRow="1" w:lastRow="0" w:firstColumn="0" w:lastColumn="0" w:oddVBand="0" w:evenVBand="0" w:oddHBand="0" w:evenHBand="0" w:firstRowFirstColumn="0" w:firstRowLastColumn="0" w:lastRowFirstColumn="0" w:lastRowLastColumn="0"/>
        </w:trPr>
        <w:tc>
          <w:tcPr>
            <w:tcW w:w="0" w:type="auto"/>
            <w:shd w:val="clear" w:color="auto" w:fill="0070C0"/>
            <w:vAlign w:val="center"/>
            <w:hideMark/>
          </w:tcPr>
          <w:p w14:paraId="1C484D25"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Level</w:t>
            </w:r>
          </w:p>
        </w:tc>
        <w:tc>
          <w:tcPr>
            <w:tcW w:w="1336" w:type="dxa"/>
            <w:shd w:val="clear" w:color="auto" w:fill="0070C0"/>
            <w:vAlign w:val="center"/>
            <w:hideMark/>
          </w:tcPr>
          <w:p w14:paraId="1CC432C0"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Frequency</w:t>
            </w:r>
          </w:p>
        </w:tc>
        <w:tc>
          <w:tcPr>
            <w:tcW w:w="2090" w:type="dxa"/>
            <w:shd w:val="clear" w:color="auto" w:fill="0070C0"/>
            <w:vAlign w:val="center"/>
            <w:hideMark/>
          </w:tcPr>
          <w:p w14:paraId="2DDBACF8"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Participants</w:t>
            </w:r>
          </w:p>
        </w:tc>
        <w:tc>
          <w:tcPr>
            <w:tcW w:w="0" w:type="auto"/>
            <w:shd w:val="clear" w:color="auto" w:fill="0070C0"/>
            <w:vAlign w:val="center"/>
            <w:hideMark/>
          </w:tcPr>
          <w:p w14:paraId="5F8768EE"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Focus</w:t>
            </w:r>
          </w:p>
        </w:tc>
      </w:tr>
      <w:tr w:rsidR="008F100E" w:rsidRPr="000764CC" w14:paraId="6949472A" w14:textId="77777777" w:rsidTr="00054E3D">
        <w:tc>
          <w:tcPr>
            <w:tcW w:w="0" w:type="auto"/>
            <w:shd w:val="clear" w:color="auto" w:fill="FFFFFF" w:themeFill="background1"/>
            <w:hideMark/>
          </w:tcPr>
          <w:p w14:paraId="408B7618" w14:textId="77777777" w:rsidR="000764CC" w:rsidRPr="000764CC" w:rsidRDefault="000764CC" w:rsidP="008F100E">
            <w:pPr>
              <w:spacing w:before="60"/>
              <w:rPr>
                <w:rFonts w:cs="Arial"/>
                <w:b/>
                <w:bCs/>
                <w:szCs w:val="21"/>
              </w:rPr>
            </w:pPr>
            <w:r w:rsidRPr="000764CC">
              <w:rPr>
                <w:rFonts w:cs="Arial"/>
                <w:b/>
                <w:bCs/>
                <w:szCs w:val="21"/>
              </w:rPr>
              <w:t>Tactical (Daily Stand-Ups)</w:t>
            </w:r>
          </w:p>
        </w:tc>
        <w:tc>
          <w:tcPr>
            <w:tcW w:w="1336" w:type="dxa"/>
            <w:shd w:val="clear" w:color="auto" w:fill="FFFFFF" w:themeFill="background1"/>
            <w:hideMark/>
          </w:tcPr>
          <w:p w14:paraId="413E4505" w14:textId="77777777" w:rsidR="000764CC" w:rsidRPr="000764CC" w:rsidRDefault="000764CC" w:rsidP="008F100E">
            <w:pPr>
              <w:spacing w:before="60"/>
              <w:rPr>
                <w:rFonts w:cs="Arial"/>
                <w:szCs w:val="21"/>
              </w:rPr>
            </w:pPr>
            <w:r w:rsidRPr="000764CC">
              <w:rPr>
                <w:rFonts w:cs="Arial"/>
                <w:szCs w:val="21"/>
              </w:rPr>
              <w:t>Daily</w:t>
            </w:r>
          </w:p>
        </w:tc>
        <w:tc>
          <w:tcPr>
            <w:tcW w:w="2090" w:type="dxa"/>
            <w:shd w:val="clear" w:color="auto" w:fill="FFFFFF" w:themeFill="background1"/>
            <w:hideMark/>
          </w:tcPr>
          <w:p w14:paraId="0CEAA38A" w14:textId="77777777" w:rsidR="000764CC" w:rsidRPr="000764CC" w:rsidRDefault="000764CC" w:rsidP="008F100E">
            <w:pPr>
              <w:spacing w:before="60"/>
              <w:rPr>
                <w:rFonts w:cs="Arial"/>
                <w:szCs w:val="21"/>
              </w:rPr>
            </w:pPr>
            <w:r w:rsidRPr="000764CC">
              <w:rPr>
                <w:rFonts w:cs="Arial"/>
                <w:szCs w:val="21"/>
              </w:rPr>
              <w:t>IBM, M&amp;E, Infrastructure, BenefitsCal teams</w:t>
            </w:r>
          </w:p>
        </w:tc>
        <w:tc>
          <w:tcPr>
            <w:tcW w:w="0" w:type="auto"/>
            <w:shd w:val="clear" w:color="auto" w:fill="FFFFFF" w:themeFill="background1"/>
            <w:hideMark/>
          </w:tcPr>
          <w:p w14:paraId="2090ACFE" w14:textId="2565B638" w:rsidR="000764CC" w:rsidRPr="000764CC" w:rsidRDefault="000764CC" w:rsidP="008F100E">
            <w:pPr>
              <w:spacing w:before="60"/>
              <w:rPr>
                <w:rFonts w:cs="Arial"/>
                <w:szCs w:val="21"/>
              </w:rPr>
            </w:pPr>
            <w:r w:rsidRPr="000764CC">
              <w:rPr>
                <w:rFonts w:cs="Arial"/>
                <w:szCs w:val="21"/>
              </w:rPr>
              <w:t>Short 15-minute touchpoints focused on progress, blockers, and immediate cross-vendor dependencies.</w:t>
            </w:r>
          </w:p>
        </w:tc>
      </w:tr>
      <w:tr w:rsidR="008F100E" w:rsidRPr="000764CC" w14:paraId="3508D9A5" w14:textId="77777777" w:rsidTr="00054E3D">
        <w:tc>
          <w:tcPr>
            <w:tcW w:w="0" w:type="auto"/>
            <w:shd w:val="clear" w:color="auto" w:fill="FFFFFF" w:themeFill="background1"/>
            <w:hideMark/>
          </w:tcPr>
          <w:p w14:paraId="3B3C0D9F" w14:textId="77777777" w:rsidR="000764CC" w:rsidRPr="000764CC" w:rsidRDefault="000764CC" w:rsidP="008F100E">
            <w:pPr>
              <w:spacing w:before="60"/>
              <w:rPr>
                <w:rFonts w:cs="Arial"/>
                <w:b/>
                <w:bCs/>
                <w:szCs w:val="21"/>
              </w:rPr>
            </w:pPr>
            <w:r w:rsidRPr="000764CC">
              <w:rPr>
                <w:rFonts w:cs="Arial"/>
                <w:b/>
                <w:bCs/>
                <w:szCs w:val="21"/>
              </w:rPr>
              <w:t>Operational (Weekly Cross-Vendor Working Sessions)</w:t>
            </w:r>
          </w:p>
        </w:tc>
        <w:tc>
          <w:tcPr>
            <w:tcW w:w="1336" w:type="dxa"/>
            <w:shd w:val="clear" w:color="auto" w:fill="FFFFFF" w:themeFill="background1"/>
            <w:hideMark/>
          </w:tcPr>
          <w:p w14:paraId="09E34DCE" w14:textId="77777777" w:rsidR="000764CC" w:rsidRPr="000764CC" w:rsidRDefault="000764CC" w:rsidP="008F100E">
            <w:pPr>
              <w:spacing w:before="60"/>
              <w:rPr>
                <w:rFonts w:cs="Arial"/>
                <w:szCs w:val="21"/>
              </w:rPr>
            </w:pPr>
            <w:r w:rsidRPr="000764CC">
              <w:rPr>
                <w:rFonts w:cs="Arial"/>
                <w:szCs w:val="21"/>
              </w:rPr>
              <w:t>Weekly</w:t>
            </w:r>
          </w:p>
        </w:tc>
        <w:tc>
          <w:tcPr>
            <w:tcW w:w="2090" w:type="dxa"/>
            <w:shd w:val="clear" w:color="auto" w:fill="FFFFFF" w:themeFill="background1"/>
            <w:hideMark/>
          </w:tcPr>
          <w:p w14:paraId="702C7E6C" w14:textId="77777777" w:rsidR="000764CC" w:rsidRPr="000764CC" w:rsidRDefault="000764CC" w:rsidP="008F100E">
            <w:pPr>
              <w:spacing w:before="60"/>
              <w:rPr>
                <w:rFonts w:cs="Arial"/>
                <w:szCs w:val="21"/>
              </w:rPr>
            </w:pPr>
            <w:r w:rsidRPr="000764CC">
              <w:rPr>
                <w:rFonts w:cs="Arial"/>
                <w:szCs w:val="21"/>
              </w:rPr>
              <w:t>QA, PMO, and vendor leads</w:t>
            </w:r>
          </w:p>
        </w:tc>
        <w:tc>
          <w:tcPr>
            <w:tcW w:w="0" w:type="auto"/>
            <w:shd w:val="clear" w:color="auto" w:fill="FFFFFF" w:themeFill="background1"/>
            <w:hideMark/>
          </w:tcPr>
          <w:p w14:paraId="75FAE3FA" w14:textId="77777777" w:rsidR="000764CC" w:rsidRPr="000764CC" w:rsidRDefault="000764CC" w:rsidP="008F100E">
            <w:pPr>
              <w:spacing w:before="60"/>
              <w:rPr>
                <w:rFonts w:cs="Arial"/>
                <w:szCs w:val="21"/>
              </w:rPr>
            </w:pPr>
            <w:r w:rsidRPr="000764CC">
              <w:rPr>
                <w:rFonts w:cs="Arial"/>
                <w:szCs w:val="21"/>
              </w:rPr>
              <w:t>Shared deliverables, testing dependencies, and joint risk reviews. Drives alignment on quality targets and readiness milestones.</w:t>
            </w:r>
          </w:p>
        </w:tc>
      </w:tr>
      <w:tr w:rsidR="008F100E" w:rsidRPr="000764CC" w14:paraId="6D7A7960" w14:textId="77777777" w:rsidTr="00054E3D">
        <w:tc>
          <w:tcPr>
            <w:tcW w:w="0" w:type="auto"/>
            <w:shd w:val="clear" w:color="auto" w:fill="FFFFFF" w:themeFill="background1"/>
            <w:hideMark/>
          </w:tcPr>
          <w:p w14:paraId="2F92511B" w14:textId="77777777" w:rsidR="000764CC" w:rsidRPr="000764CC" w:rsidRDefault="000764CC" w:rsidP="008F100E">
            <w:pPr>
              <w:spacing w:before="60"/>
              <w:rPr>
                <w:rFonts w:cs="Arial"/>
                <w:b/>
                <w:bCs/>
                <w:szCs w:val="21"/>
              </w:rPr>
            </w:pPr>
            <w:r w:rsidRPr="000764CC">
              <w:rPr>
                <w:rFonts w:cs="Arial"/>
                <w:b/>
                <w:bCs/>
                <w:szCs w:val="21"/>
              </w:rPr>
              <w:t>Strategic (Monthly Steering Committee)</w:t>
            </w:r>
          </w:p>
        </w:tc>
        <w:tc>
          <w:tcPr>
            <w:tcW w:w="1336" w:type="dxa"/>
            <w:shd w:val="clear" w:color="auto" w:fill="FFFFFF" w:themeFill="background1"/>
            <w:hideMark/>
          </w:tcPr>
          <w:p w14:paraId="1B3E3B33" w14:textId="77777777" w:rsidR="000764CC" w:rsidRPr="000764CC" w:rsidRDefault="000764CC" w:rsidP="008F100E">
            <w:pPr>
              <w:spacing w:before="60"/>
              <w:rPr>
                <w:rFonts w:cs="Arial"/>
                <w:szCs w:val="21"/>
              </w:rPr>
            </w:pPr>
            <w:r w:rsidRPr="000764CC">
              <w:rPr>
                <w:rFonts w:cs="Arial"/>
                <w:szCs w:val="21"/>
              </w:rPr>
              <w:t>Monthly</w:t>
            </w:r>
          </w:p>
        </w:tc>
        <w:tc>
          <w:tcPr>
            <w:tcW w:w="2090" w:type="dxa"/>
            <w:shd w:val="clear" w:color="auto" w:fill="FFFFFF" w:themeFill="background1"/>
            <w:hideMark/>
          </w:tcPr>
          <w:p w14:paraId="3D71C475" w14:textId="6385EA84" w:rsidR="000764CC" w:rsidRPr="000764CC" w:rsidRDefault="000764CC" w:rsidP="008F100E">
            <w:pPr>
              <w:spacing w:before="60"/>
              <w:rPr>
                <w:rFonts w:cs="Arial"/>
                <w:szCs w:val="21"/>
              </w:rPr>
            </w:pPr>
            <w:r w:rsidRPr="000764CC">
              <w:rPr>
                <w:rFonts w:cs="Arial"/>
                <w:szCs w:val="21"/>
              </w:rPr>
              <w:t xml:space="preserve">Consortium PMO, IBM, </w:t>
            </w:r>
            <w:r w:rsidR="009525C2">
              <w:rPr>
                <w:rFonts w:cs="Arial"/>
                <w:szCs w:val="21"/>
              </w:rPr>
              <w:t>Incumbent CalSAWS vendors</w:t>
            </w:r>
            <w:r w:rsidRPr="000764CC">
              <w:rPr>
                <w:rFonts w:cs="Arial"/>
                <w:szCs w:val="21"/>
              </w:rPr>
              <w:t xml:space="preserve"> </w:t>
            </w:r>
          </w:p>
        </w:tc>
        <w:tc>
          <w:tcPr>
            <w:tcW w:w="0" w:type="auto"/>
            <w:shd w:val="clear" w:color="auto" w:fill="FFFFFF" w:themeFill="background1"/>
            <w:hideMark/>
          </w:tcPr>
          <w:p w14:paraId="508A876E" w14:textId="77777777" w:rsidR="000764CC" w:rsidRPr="000764CC" w:rsidRDefault="000764CC" w:rsidP="008F100E">
            <w:pPr>
              <w:spacing w:before="60"/>
              <w:rPr>
                <w:rFonts w:cs="Arial"/>
                <w:szCs w:val="21"/>
              </w:rPr>
            </w:pPr>
            <w:r w:rsidRPr="000764CC">
              <w:rPr>
                <w:rFonts w:cs="Arial"/>
                <w:szCs w:val="21"/>
              </w:rPr>
              <w:t>Leadership-level review of QA metrics, defect trends, early-warning indicators, and systemic risks requiring executive attention.</w:t>
            </w:r>
          </w:p>
        </w:tc>
      </w:tr>
      <w:tr w:rsidR="008F100E" w:rsidRPr="000764CC" w14:paraId="38B27882" w14:textId="77777777" w:rsidTr="00054E3D">
        <w:tc>
          <w:tcPr>
            <w:tcW w:w="0" w:type="auto"/>
            <w:shd w:val="clear" w:color="auto" w:fill="FFFFFF" w:themeFill="background1"/>
            <w:hideMark/>
          </w:tcPr>
          <w:p w14:paraId="0E8F3FBB" w14:textId="77777777" w:rsidR="000764CC" w:rsidRPr="000764CC" w:rsidRDefault="000764CC" w:rsidP="008F100E">
            <w:pPr>
              <w:spacing w:before="60"/>
              <w:rPr>
                <w:rFonts w:cs="Arial"/>
                <w:b/>
                <w:bCs/>
                <w:szCs w:val="21"/>
              </w:rPr>
            </w:pPr>
            <w:r w:rsidRPr="000764CC">
              <w:rPr>
                <w:rFonts w:cs="Arial"/>
                <w:b/>
                <w:bCs/>
                <w:szCs w:val="21"/>
              </w:rPr>
              <w:t>Forward-Looking (Quarterly Quality &amp; Risk Reviews)</w:t>
            </w:r>
          </w:p>
        </w:tc>
        <w:tc>
          <w:tcPr>
            <w:tcW w:w="1336" w:type="dxa"/>
            <w:shd w:val="clear" w:color="auto" w:fill="FFFFFF" w:themeFill="background1"/>
            <w:hideMark/>
          </w:tcPr>
          <w:p w14:paraId="288C931F" w14:textId="77777777" w:rsidR="000764CC" w:rsidRPr="000764CC" w:rsidRDefault="000764CC" w:rsidP="008F100E">
            <w:pPr>
              <w:spacing w:before="60"/>
              <w:rPr>
                <w:rFonts w:cs="Arial"/>
                <w:szCs w:val="21"/>
              </w:rPr>
            </w:pPr>
            <w:r w:rsidRPr="000764CC">
              <w:rPr>
                <w:rFonts w:cs="Arial"/>
                <w:szCs w:val="21"/>
              </w:rPr>
              <w:t>Quarterly</w:t>
            </w:r>
          </w:p>
        </w:tc>
        <w:tc>
          <w:tcPr>
            <w:tcW w:w="2090" w:type="dxa"/>
            <w:shd w:val="clear" w:color="auto" w:fill="FFFFFF" w:themeFill="background1"/>
            <w:hideMark/>
          </w:tcPr>
          <w:p w14:paraId="33F4C9DB" w14:textId="77777777" w:rsidR="000764CC" w:rsidRPr="000764CC" w:rsidRDefault="000764CC" w:rsidP="008F100E">
            <w:pPr>
              <w:spacing w:before="60"/>
              <w:rPr>
                <w:rFonts w:cs="Arial"/>
                <w:szCs w:val="21"/>
              </w:rPr>
            </w:pPr>
            <w:r w:rsidRPr="000764CC">
              <w:rPr>
                <w:rFonts w:cs="Arial"/>
                <w:szCs w:val="21"/>
              </w:rPr>
              <w:t>Consortium, vendors, QA leadership</w:t>
            </w:r>
          </w:p>
        </w:tc>
        <w:tc>
          <w:tcPr>
            <w:tcW w:w="0" w:type="auto"/>
            <w:shd w:val="clear" w:color="auto" w:fill="FFFFFF" w:themeFill="background1"/>
            <w:hideMark/>
          </w:tcPr>
          <w:p w14:paraId="50F095DF" w14:textId="77777777" w:rsidR="000764CC" w:rsidRPr="000764CC" w:rsidRDefault="000764CC" w:rsidP="008F100E">
            <w:pPr>
              <w:spacing w:before="60"/>
              <w:rPr>
                <w:rFonts w:cs="Arial"/>
                <w:szCs w:val="21"/>
              </w:rPr>
            </w:pPr>
            <w:r w:rsidRPr="000764CC">
              <w:rPr>
                <w:rFonts w:cs="Arial"/>
                <w:szCs w:val="21"/>
              </w:rPr>
              <w:t>Anticipates major legislative, policy, or modernization initiatives impacting multiple contractors. Plans joint readiness and mitigation actions.</w:t>
            </w:r>
          </w:p>
        </w:tc>
      </w:tr>
    </w:tbl>
    <w:p w14:paraId="31C5EDAB" w14:textId="77777777" w:rsidR="000764CC" w:rsidRPr="000764CC" w:rsidRDefault="000764CC" w:rsidP="00054E3D">
      <w:pPr>
        <w:spacing w:before="120" w:after="120"/>
        <w:rPr>
          <w:rFonts w:cstheme="minorHAnsi"/>
          <w:color w:val="auto"/>
          <w:szCs w:val="21"/>
        </w:rPr>
      </w:pPr>
      <w:r w:rsidRPr="000764CC">
        <w:rPr>
          <w:rFonts w:cstheme="minorHAnsi"/>
          <w:color w:val="auto"/>
          <w:szCs w:val="21"/>
        </w:rPr>
        <w:t xml:space="preserve">This layered cadence reinforces the </w:t>
      </w:r>
      <w:r w:rsidRPr="000764CC">
        <w:rPr>
          <w:rFonts w:cstheme="minorHAnsi"/>
          <w:b/>
          <w:bCs/>
          <w:color w:val="auto"/>
          <w:szCs w:val="21"/>
        </w:rPr>
        <w:t>One Team CalSAWS philosophy</w:t>
      </w:r>
      <w:r w:rsidRPr="000764CC">
        <w:rPr>
          <w:rFonts w:cstheme="minorHAnsi"/>
          <w:color w:val="auto"/>
          <w:szCs w:val="21"/>
        </w:rPr>
        <w:t>—ensuring all partners work from the same set of priorities, timelines, and quality objectives. It provides predictability while maintaining flexibility for emergency or off-cycle releases.</w:t>
      </w:r>
    </w:p>
    <w:p w14:paraId="113B75D1" w14:textId="78008680" w:rsidR="000764CC" w:rsidRPr="000764CC" w:rsidRDefault="000764CC" w:rsidP="00054E3D">
      <w:pPr>
        <w:spacing w:before="120" w:after="120"/>
        <w:rPr>
          <w:rFonts w:cstheme="minorHAnsi"/>
          <w:color w:val="auto"/>
          <w:szCs w:val="21"/>
        </w:rPr>
      </w:pPr>
      <w:r w:rsidRPr="000764CC">
        <w:rPr>
          <w:rFonts w:cstheme="minorHAnsi"/>
          <w:color w:val="auto"/>
          <w:szCs w:val="21"/>
        </w:rPr>
        <w:t xml:space="preserve">IBM also emphasizes that </w:t>
      </w:r>
      <w:r w:rsidRPr="000764CC">
        <w:rPr>
          <w:rFonts w:cstheme="minorHAnsi"/>
          <w:b/>
          <w:bCs/>
          <w:color w:val="auto"/>
          <w:szCs w:val="21"/>
        </w:rPr>
        <w:t>collaboration is not a meeting</w:t>
      </w:r>
      <w:r w:rsidR="002F125C">
        <w:rPr>
          <w:rFonts w:cstheme="minorHAnsi"/>
          <w:b/>
          <w:bCs/>
          <w:color w:val="auto"/>
          <w:szCs w:val="21"/>
        </w:rPr>
        <w:t xml:space="preserve"> </w:t>
      </w:r>
      <w:r w:rsidRPr="000764CC">
        <w:rPr>
          <w:rFonts w:cstheme="minorHAnsi"/>
          <w:b/>
          <w:bCs/>
          <w:color w:val="auto"/>
          <w:szCs w:val="21"/>
        </w:rPr>
        <w:t>—</w:t>
      </w:r>
      <w:r w:rsidR="002F125C">
        <w:rPr>
          <w:rFonts w:cstheme="minorHAnsi"/>
          <w:b/>
          <w:bCs/>
          <w:color w:val="auto"/>
          <w:szCs w:val="21"/>
        </w:rPr>
        <w:t xml:space="preserve"> </w:t>
      </w:r>
      <w:r w:rsidRPr="000764CC">
        <w:rPr>
          <w:rFonts w:cstheme="minorHAnsi"/>
          <w:b/>
          <w:bCs/>
          <w:color w:val="auto"/>
          <w:szCs w:val="21"/>
        </w:rPr>
        <w:t>it’s a behavior.</w:t>
      </w:r>
      <w:r w:rsidRPr="000764CC">
        <w:rPr>
          <w:rFonts w:cstheme="minorHAnsi"/>
          <w:color w:val="auto"/>
          <w:szCs w:val="21"/>
        </w:rPr>
        <w:t xml:space="preserve"> To support that principle, IBM </w:t>
      </w:r>
      <w:r w:rsidRPr="000764CC">
        <w:rPr>
          <w:rFonts w:cs="Arial"/>
          <w:color w:val="0D0D0D" w:themeColor="text1" w:themeTint="F2"/>
          <w:szCs w:val="21"/>
        </w:rPr>
        <w:t>institutionalizes</w:t>
      </w:r>
      <w:r w:rsidRPr="000764CC">
        <w:rPr>
          <w:rFonts w:cstheme="minorHAnsi"/>
          <w:color w:val="auto"/>
          <w:szCs w:val="21"/>
        </w:rPr>
        <w:t xml:space="preserve"> collaboration through:</w:t>
      </w:r>
    </w:p>
    <w:p w14:paraId="31238B59" w14:textId="77777777" w:rsidR="000764CC" w:rsidRPr="000764CC" w:rsidRDefault="000764CC" w:rsidP="00206A0F">
      <w:pPr>
        <w:numPr>
          <w:ilvl w:val="0"/>
          <w:numId w:val="11"/>
        </w:numPr>
        <w:spacing w:before="60"/>
        <w:ind w:left="717" w:hanging="357"/>
        <w:rPr>
          <w:rFonts w:cs="Arial"/>
          <w:szCs w:val="21"/>
        </w:rPr>
      </w:pPr>
      <w:r w:rsidRPr="000764CC">
        <w:rPr>
          <w:rFonts w:cs="Arial"/>
          <w:b/>
          <w:bCs/>
          <w:szCs w:val="21"/>
        </w:rPr>
        <w:lastRenderedPageBreak/>
        <w:t>Joint issue logs</w:t>
      </w:r>
      <w:r w:rsidRPr="000764CC">
        <w:rPr>
          <w:rFonts w:cs="Arial"/>
          <w:szCs w:val="21"/>
        </w:rPr>
        <w:t xml:space="preserve"> shared across all contractors and visible to the Consortium.</w:t>
      </w:r>
    </w:p>
    <w:p w14:paraId="3BA5A68E" w14:textId="77777777" w:rsidR="000764CC" w:rsidRPr="000764CC" w:rsidRDefault="000764CC" w:rsidP="00206A0F">
      <w:pPr>
        <w:numPr>
          <w:ilvl w:val="0"/>
          <w:numId w:val="11"/>
        </w:numPr>
        <w:spacing w:before="60"/>
        <w:ind w:left="717" w:hanging="357"/>
        <w:rPr>
          <w:rFonts w:cs="Arial"/>
          <w:szCs w:val="21"/>
        </w:rPr>
      </w:pPr>
      <w:r w:rsidRPr="000764CC">
        <w:rPr>
          <w:rFonts w:cs="Arial"/>
          <w:b/>
          <w:bCs/>
          <w:szCs w:val="21"/>
        </w:rPr>
        <w:t>Co-authored action plans</w:t>
      </w:r>
      <w:r w:rsidRPr="000764CC">
        <w:rPr>
          <w:rFonts w:cs="Arial"/>
          <w:szCs w:val="21"/>
        </w:rPr>
        <w:t xml:space="preserve"> that ensure clarity of next steps and ownership.</w:t>
      </w:r>
    </w:p>
    <w:p w14:paraId="5CF36B87" w14:textId="77777777" w:rsidR="000764CC" w:rsidRPr="000764CC" w:rsidRDefault="000764CC" w:rsidP="00206A0F">
      <w:pPr>
        <w:numPr>
          <w:ilvl w:val="0"/>
          <w:numId w:val="11"/>
        </w:numPr>
        <w:spacing w:before="60"/>
        <w:ind w:left="717" w:hanging="357"/>
        <w:rPr>
          <w:rFonts w:cs="Arial"/>
          <w:szCs w:val="21"/>
        </w:rPr>
      </w:pPr>
      <w:r w:rsidRPr="000764CC">
        <w:rPr>
          <w:rFonts w:cs="Arial"/>
          <w:b/>
          <w:bCs/>
          <w:szCs w:val="21"/>
        </w:rPr>
        <w:t>Shared dashboards and repositories</w:t>
      </w:r>
      <w:r w:rsidRPr="000764CC">
        <w:rPr>
          <w:rFonts w:cs="Arial"/>
          <w:szCs w:val="21"/>
        </w:rPr>
        <w:t xml:space="preserve"> for continuous visibility into QA progress and risks.</w:t>
      </w:r>
    </w:p>
    <w:p w14:paraId="01710100" w14:textId="77777777" w:rsidR="000764CC" w:rsidRPr="000764CC" w:rsidRDefault="000764CC" w:rsidP="00054E3D">
      <w:pPr>
        <w:spacing w:before="120" w:after="120"/>
        <w:rPr>
          <w:rFonts w:cstheme="minorHAnsi"/>
          <w:color w:val="auto"/>
          <w:szCs w:val="21"/>
        </w:rPr>
      </w:pPr>
      <w:r w:rsidRPr="000764CC">
        <w:rPr>
          <w:rFonts w:cstheme="minorHAnsi"/>
          <w:color w:val="auto"/>
          <w:szCs w:val="21"/>
        </w:rPr>
        <w:t xml:space="preserve">These </w:t>
      </w:r>
      <w:r w:rsidRPr="000764CC">
        <w:rPr>
          <w:rFonts w:cs="Arial"/>
          <w:color w:val="0D0D0D" w:themeColor="text1" w:themeTint="F2"/>
          <w:szCs w:val="21"/>
        </w:rPr>
        <w:t>mechanisms</w:t>
      </w:r>
      <w:r w:rsidRPr="000764CC">
        <w:rPr>
          <w:rFonts w:cstheme="minorHAnsi"/>
          <w:color w:val="auto"/>
          <w:szCs w:val="21"/>
        </w:rPr>
        <w:t xml:space="preserve"> foster a culture of openness and accountability, enabling rapid resolution of cross-vendor issues before they escalate.</w:t>
      </w:r>
    </w:p>
    <w:p w14:paraId="67400024" w14:textId="77777777" w:rsidR="000764CC" w:rsidRDefault="000764CC" w:rsidP="00054E3D">
      <w:pPr>
        <w:spacing w:before="120" w:after="120"/>
        <w:rPr>
          <w:rFonts w:cstheme="minorHAnsi"/>
          <w:color w:val="auto"/>
          <w:szCs w:val="21"/>
        </w:rPr>
      </w:pPr>
      <w:r w:rsidRPr="000764CC">
        <w:rPr>
          <w:rFonts w:cstheme="minorHAnsi"/>
          <w:color w:val="auto"/>
          <w:szCs w:val="21"/>
        </w:rPr>
        <w:t xml:space="preserve">Through this structured yet adaptive cadence, IBM helps ensure that CalSAWS achieves not only technical quality but also </w:t>
      </w:r>
      <w:r w:rsidRPr="000764CC">
        <w:rPr>
          <w:rFonts w:cstheme="minorHAnsi"/>
          <w:b/>
          <w:bCs/>
          <w:color w:val="auto"/>
          <w:szCs w:val="21"/>
        </w:rPr>
        <w:t>organizational cohesion and delivery confidence</w:t>
      </w:r>
      <w:r w:rsidRPr="000764CC">
        <w:rPr>
          <w:rFonts w:cstheme="minorHAnsi"/>
          <w:color w:val="auto"/>
          <w:szCs w:val="21"/>
        </w:rPr>
        <w:t>—hallmarks of a mature, well-governed multi-contractor environment.</w:t>
      </w:r>
    </w:p>
    <w:p w14:paraId="423B365D" w14:textId="77777777" w:rsidR="00054E3D" w:rsidRPr="00054E3D" w:rsidRDefault="00054E3D" w:rsidP="00054E3D">
      <w:pPr>
        <w:pStyle w:val="Caption"/>
      </w:pPr>
    </w:p>
    <w:p w14:paraId="1D524630" w14:textId="6EDD83A6" w:rsidR="000764CC" w:rsidRPr="000764CC" w:rsidRDefault="000764CC" w:rsidP="000764CC">
      <w:pPr>
        <w:spacing w:before="120"/>
        <w:ind w:left="360" w:hanging="360"/>
        <w:rPr>
          <w:rFonts w:cstheme="minorHAnsi"/>
          <w:b/>
          <w:bCs/>
          <w:color w:val="auto"/>
        </w:rPr>
      </w:pPr>
      <w:r w:rsidRPr="000764CC">
        <w:rPr>
          <w:rFonts w:cstheme="minorHAnsi"/>
          <w:b/>
          <w:bCs/>
          <w:color w:val="auto"/>
        </w:rPr>
        <w:t>3.</w:t>
      </w:r>
      <w:r w:rsidRPr="000764CC">
        <w:rPr>
          <w:rFonts w:cstheme="minorHAnsi"/>
          <w:b/>
          <w:bCs/>
          <w:color w:val="auto"/>
        </w:rPr>
        <w:tab/>
        <w:t>Tools and Mechanisms for Transparency and Shared Accountability</w:t>
      </w:r>
    </w:p>
    <w:p w14:paraId="785B6DF6" w14:textId="77777777" w:rsidR="000764CC" w:rsidRPr="000764CC" w:rsidRDefault="000764CC" w:rsidP="00054E3D">
      <w:pPr>
        <w:spacing w:before="120" w:after="120"/>
        <w:rPr>
          <w:rFonts w:cstheme="minorHAnsi"/>
          <w:color w:val="auto"/>
          <w:szCs w:val="21"/>
        </w:rPr>
      </w:pPr>
      <w:r w:rsidRPr="000764CC">
        <w:rPr>
          <w:rFonts w:cstheme="minorHAnsi"/>
          <w:color w:val="auto"/>
          <w:szCs w:val="21"/>
        </w:rPr>
        <w:t xml:space="preserve">Transparency is the foundation of trust in a multi-contractor environment. To support that </w:t>
      </w:r>
      <w:r w:rsidRPr="000764CC">
        <w:rPr>
          <w:rFonts w:cs="Arial"/>
          <w:color w:val="0D0D0D" w:themeColor="text1" w:themeTint="F2"/>
          <w:szCs w:val="21"/>
        </w:rPr>
        <w:t>trust</w:t>
      </w:r>
      <w:r w:rsidRPr="000764CC">
        <w:rPr>
          <w:rFonts w:cstheme="minorHAnsi"/>
          <w:color w:val="auto"/>
          <w:szCs w:val="21"/>
        </w:rPr>
        <w:t xml:space="preserve">, IBM uses </w:t>
      </w:r>
      <w:r w:rsidRPr="000764CC">
        <w:rPr>
          <w:rFonts w:cstheme="minorHAnsi"/>
          <w:b/>
          <w:bCs/>
          <w:color w:val="auto"/>
          <w:szCs w:val="21"/>
        </w:rPr>
        <w:t>shared tools, common data sources, and standardized reporting</w:t>
      </w:r>
      <w:r w:rsidRPr="000764CC">
        <w:rPr>
          <w:rFonts w:cstheme="minorHAnsi"/>
          <w:color w:val="auto"/>
          <w:szCs w:val="21"/>
        </w:rPr>
        <w:t xml:space="preserve"> that make quality measurable and visible to the Consortium and all vendors in real time.</w:t>
      </w:r>
    </w:p>
    <w:p w14:paraId="66965DFE" w14:textId="77777777" w:rsidR="000764CC" w:rsidRPr="000764CC" w:rsidRDefault="000764CC" w:rsidP="00054E3D">
      <w:pPr>
        <w:spacing w:before="120" w:after="120"/>
        <w:rPr>
          <w:rFonts w:cstheme="minorHAnsi"/>
          <w:color w:val="auto"/>
          <w:szCs w:val="21"/>
        </w:rPr>
      </w:pPr>
      <w:r w:rsidRPr="000764CC">
        <w:rPr>
          <w:rFonts w:cstheme="minorHAnsi"/>
          <w:color w:val="auto"/>
          <w:szCs w:val="21"/>
        </w:rPr>
        <w:t xml:space="preserve">Our approach starts with a simple principle: </w:t>
      </w:r>
      <w:r w:rsidRPr="000764CC">
        <w:rPr>
          <w:rFonts w:cstheme="minorHAnsi"/>
          <w:b/>
          <w:bCs/>
          <w:color w:val="auto"/>
          <w:szCs w:val="21"/>
        </w:rPr>
        <w:t>every partner should be working from the same source of truth.</w:t>
      </w:r>
      <w:r w:rsidRPr="000764CC">
        <w:rPr>
          <w:rFonts w:cstheme="minorHAnsi"/>
          <w:color w:val="auto"/>
          <w:szCs w:val="21"/>
        </w:rPr>
        <w:t xml:space="preserve"> IBM therefore integrates its tools directly into the Consortium’s existing ecosystem—</w:t>
      </w:r>
      <w:r w:rsidRPr="000764CC">
        <w:rPr>
          <w:rFonts w:cs="Arial"/>
          <w:color w:val="0D0D0D" w:themeColor="text1" w:themeTint="F2"/>
          <w:szCs w:val="21"/>
        </w:rPr>
        <w:t>enhancing</w:t>
      </w:r>
      <w:r w:rsidRPr="000764CC">
        <w:rPr>
          <w:rFonts w:cstheme="minorHAnsi"/>
          <w:color w:val="auto"/>
          <w:szCs w:val="21"/>
        </w:rPr>
        <w:t xml:space="preserve"> it, not duplicating it—with additional analytics and automation where they add measurable value.</w:t>
      </w:r>
    </w:p>
    <w:p w14:paraId="31A0BB35" w14:textId="77777777" w:rsidR="000764CC" w:rsidRPr="000764CC" w:rsidRDefault="000764CC" w:rsidP="00054E3D">
      <w:pPr>
        <w:spacing w:before="120" w:after="120"/>
        <w:rPr>
          <w:rFonts w:cs="Arial"/>
          <w:b/>
          <w:bCs/>
          <w:color w:val="0D0D0D" w:themeColor="text1" w:themeTint="F2"/>
          <w:szCs w:val="21"/>
        </w:rPr>
      </w:pPr>
      <w:r w:rsidRPr="000764CC">
        <w:rPr>
          <w:rFonts w:cs="Arial"/>
          <w:b/>
          <w:bCs/>
          <w:color w:val="0D0D0D" w:themeColor="text1" w:themeTint="F2"/>
          <w:szCs w:val="21"/>
        </w:rPr>
        <w:t>Core Tools and Practices</w:t>
      </w:r>
    </w:p>
    <w:p w14:paraId="7E3AA33D" w14:textId="77777777" w:rsidR="000764CC" w:rsidRPr="000764CC" w:rsidRDefault="000764CC" w:rsidP="00206A0F">
      <w:pPr>
        <w:numPr>
          <w:ilvl w:val="0"/>
          <w:numId w:val="11"/>
        </w:numPr>
        <w:spacing w:before="60"/>
        <w:ind w:left="717" w:hanging="357"/>
        <w:rPr>
          <w:rFonts w:cs="Arial"/>
          <w:b/>
          <w:bCs/>
          <w:szCs w:val="21"/>
        </w:rPr>
      </w:pPr>
      <w:r w:rsidRPr="000764CC">
        <w:rPr>
          <w:rFonts w:cs="Arial"/>
          <w:b/>
          <w:bCs/>
          <w:szCs w:val="21"/>
        </w:rPr>
        <w:t>JIRA / JTM Integration (Consortium Standard)</w:t>
      </w:r>
    </w:p>
    <w:p w14:paraId="2A9543D6" w14:textId="77777777" w:rsidR="000764CC" w:rsidRPr="000764CC" w:rsidRDefault="000764CC" w:rsidP="00206A0F">
      <w:pPr>
        <w:spacing w:before="120" w:after="120"/>
        <w:ind w:left="1074"/>
        <w:rPr>
          <w:rFonts w:cs="Arial"/>
          <w:color w:val="0D0D0D" w:themeColor="text1" w:themeTint="F2"/>
          <w:szCs w:val="21"/>
        </w:rPr>
      </w:pPr>
      <w:r w:rsidRPr="000764CC">
        <w:rPr>
          <w:rFonts w:cs="Arial"/>
          <w:color w:val="0D0D0D" w:themeColor="text1" w:themeTint="F2"/>
          <w:szCs w:val="21"/>
        </w:rPr>
        <w:t>All test cases, defects, and requirements are managed in the CalSAWS JIRA/JTM environment, giving every contractor and the Consortium full visibility into QA progress, issue status, and dependencies:</w:t>
      </w:r>
    </w:p>
    <w:p w14:paraId="3B583924" w14:textId="77777777" w:rsidR="000764CC" w:rsidRPr="000764CC" w:rsidRDefault="000764CC" w:rsidP="00206A0F">
      <w:pPr>
        <w:numPr>
          <w:ilvl w:val="0"/>
          <w:numId w:val="12"/>
        </w:numPr>
        <w:spacing w:before="60"/>
        <w:ind w:left="1431" w:hanging="357"/>
        <w:rPr>
          <w:rFonts w:cs="Arial"/>
          <w:szCs w:val="21"/>
        </w:rPr>
      </w:pPr>
      <w:r w:rsidRPr="000764CC">
        <w:rPr>
          <w:rFonts w:cs="Arial"/>
          <w:szCs w:val="21"/>
        </w:rPr>
        <w:t>Real-time dashboards track defect counts, priorities, and closure timelines.</w:t>
      </w:r>
    </w:p>
    <w:p w14:paraId="4294F019" w14:textId="77777777" w:rsidR="000764CC" w:rsidRPr="000764CC" w:rsidRDefault="000764CC" w:rsidP="00206A0F">
      <w:pPr>
        <w:numPr>
          <w:ilvl w:val="0"/>
          <w:numId w:val="12"/>
        </w:numPr>
        <w:spacing w:before="60"/>
        <w:ind w:left="1431" w:hanging="357"/>
        <w:rPr>
          <w:rFonts w:cs="Arial"/>
          <w:szCs w:val="21"/>
        </w:rPr>
      </w:pPr>
      <w:r w:rsidRPr="000764CC">
        <w:rPr>
          <w:rFonts w:cs="Arial"/>
          <w:szCs w:val="21"/>
        </w:rPr>
        <w:t>Linked artifacts maintain end-to-end traceability between requirements, tests, and releases.</w:t>
      </w:r>
    </w:p>
    <w:p w14:paraId="66CBB6A3" w14:textId="77777777" w:rsidR="000764CC" w:rsidRPr="000764CC" w:rsidRDefault="000764CC" w:rsidP="00206A0F">
      <w:pPr>
        <w:numPr>
          <w:ilvl w:val="0"/>
          <w:numId w:val="12"/>
        </w:numPr>
        <w:spacing w:before="60"/>
        <w:ind w:left="1431" w:hanging="357"/>
        <w:rPr>
          <w:rFonts w:cs="Arial"/>
          <w:szCs w:val="21"/>
        </w:rPr>
      </w:pPr>
      <w:r w:rsidRPr="000764CC">
        <w:rPr>
          <w:rFonts w:cs="Arial"/>
          <w:szCs w:val="21"/>
        </w:rPr>
        <w:t>Permissions ensure appropriate access while supporting shared situational awareness.</w:t>
      </w:r>
    </w:p>
    <w:p w14:paraId="302A76F7" w14:textId="77777777" w:rsidR="000764CC" w:rsidRPr="000764CC" w:rsidRDefault="000764CC" w:rsidP="00206A0F">
      <w:pPr>
        <w:numPr>
          <w:ilvl w:val="0"/>
          <w:numId w:val="11"/>
        </w:numPr>
        <w:spacing w:before="60"/>
        <w:ind w:left="717" w:hanging="357"/>
        <w:rPr>
          <w:rFonts w:cs="Arial"/>
          <w:b/>
          <w:bCs/>
          <w:szCs w:val="21"/>
        </w:rPr>
      </w:pPr>
      <w:r w:rsidRPr="000764CC">
        <w:rPr>
          <w:rFonts w:cs="Arial"/>
          <w:b/>
          <w:bCs/>
          <w:szCs w:val="21"/>
        </w:rPr>
        <w:t>Quality Index Dashboard (Included in Proposed Cost)</w:t>
      </w:r>
    </w:p>
    <w:p w14:paraId="68229CD9" w14:textId="77777777" w:rsidR="000764CC" w:rsidRPr="000764CC" w:rsidRDefault="000764CC" w:rsidP="00206A0F">
      <w:pPr>
        <w:spacing w:before="120" w:after="120"/>
        <w:ind w:left="1074"/>
        <w:rPr>
          <w:rFonts w:cs="Arial"/>
          <w:color w:val="0D0D0D" w:themeColor="text1" w:themeTint="F2"/>
          <w:szCs w:val="21"/>
        </w:rPr>
      </w:pPr>
      <w:r w:rsidRPr="000764CC">
        <w:rPr>
          <w:rFonts w:cs="Arial"/>
          <w:color w:val="0D0D0D" w:themeColor="text1" w:themeTint="F2"/>
          <w:szCs w:val="21"/>
        </w:rPr>
        <w:t xml:space="preserve">IBM will deliver an integrated dashboard that consolidates </w:t>
      </w:r>
      <w:r w:rsidRPr="000764CC">
        <w:rPr>
          <w:rFonts w:cs="Arial"/>
          <w:b/>
          <w:bCs/>
          <w:color w:val="0D0D0D" w:themeColor="text1" w:themeTint="F2"/>
          <w:szCs w:val="21"/>
        </w:rPr>
        <w:t>Consortium-defined KPIs</w:t>
      </w:r>
      <w:r w:rsidRPr="000764CC">
        <w:rPr>
          <w:rFonts w:cs="Arial"/>
          <w:color w:val="0D0D0D" w:themeColor="text1" w:themeTint="F2"/>
          <w:szCs w:val="21"/>
        </w:rPr>
        <w:t xml:space="preserve"> into one view of system health. The dashboard aligns to existing CalSAWS governance metrics and enables data-driven decision-making across contractors. Key indicators include:</w:t>
      </w:r>
    </w:p>
    <w:p w14:paraId="12E816BD" w14:textId="77777777" w:rsidR="000764CC" w:rsidRPr="000764CC" w:rsidRDefault="000764CC" w:rsidP="00206A0F">
      <w:pPr>
        <w:numPr>
          <w:ilvl w:val="0"/>
          <w:numId w:val="12"/>
        </w:numPr>
        <w:spacing w:before="60"/>
        <w:ind w:left="1428" w:hanging="357"/>
        <w:rPr>
          <w:rFonts w:cs="Arial"/>
          <w:szCs w:val="21"/>
        </w:rPr>
      </w:pPr>
      <w:r w:rsidRPr="000764CC">
        <w:rPr>
          <w:rFonts w:cs="Arial"/>
          <w:szCs w:val="21"/>
        </w:rPr>
        <w:t>Defect density and severity by vendor.</w:t>
      </w:r>
    </w:p>
    <w:p w14:paraId="6CBD0555" w14:textId="77777777" w:rsidR="000764CC" w:rsidRPr="000764CC" w:rsidRDefault="000764CC" w:rsidP="00206A0F">
      <w:pPr>
        <w:numPr>
          <w:ilvl w:val="0"/>
          <w:numId w:val="12"/>
        </w:numPr>
        <w:spacing w:before="60"/>
        <w:ind w:left="1428" w:hanging="357"/>
        <w:rPr>
          <w:rFonts w:cs="Arial"/>
          <w:szCs w:val="21"/>
        </w:rPr>
      </w:pPr>
      <w:r w:rsidRPr="000764CC">
        <w:rPr>
          <w:rFonts w:cs="Arial"/>
          <w:szCs w:val="21"/>
        </w:rPr>
        <w:t>Cross-vendor defect leakage into production.</w:t>
      </w:r>
    </w:p>
    <w:p w14:paraId="2A828252" w14:textId="77777777" w:rsidR="000764CC" w:rsidRPr="000764CC" w:rsidRDefault="000764CC" w:rsidP="00206A0F">
      <w:pPr>
        <w:numPr>
          <w:ilvl w:val="0"/>
          <w:numId w:val="12"/>
        </w:numPr>
        <w:spacing w:before="60"/>
        <w:ind w:left="1428" w:hanging="357"/>
        <w:rPr>
          <w:rFonts w:cs="Arial"/>
          <w:szCs w:val="21"/>
        </w:rPr>
      </w:pPr>
      <w:r w:rsidRPr="000764CC">
        <w:rPr>
          <w:rFonts w:cs="Arial"/>
          <w:szCs w:val="21"/>
        </w:rPr>
        <w:t>Test coverage and automation rate.</w:t>
      </w:r>
    </w:p>
    <w:p w14:paraId="6BCE41C1" w14:textId="77777777" w:rsidR="000764CC" w:rsidRPr="000764CC" w:rsidRDefault="000764CC" w:rsidP="00206A0F">
      <w:pPr>
        <w:numPr>
          <w:ilvl w:val="0"/>
          <w:numId w:val="12"/>
        </w:numPr>
        <w:spacing w:before="60"/>
        <w:ind w:left="1428" w:hanging="357"/>
        <w:rPr>
          <w:rFonts w:cs="Arial"/>
          <w:szCs w:val="21"/>
        </w:rPr>
      </w:pPr>
      <w:r w:rsidRPr="000764CC">
        <w:rPr>
          <w:rFonts w:cs="Arial"/>
          <w:szCs w:val="21"/>
        </w:rPr>
        <w:t>Cycle time, backlog trends, and resolution speed.</w:t>
      </w:r>
    </w:p>
    <w:p w14:paraId="62BD6B44" w14:textId="4EB0A41F" w:rsidR="000764CC" w:rsidRPr="000764CC" w:rsidRDefault="000764CC" w:rsidP="00206A0F">
      <w:pPr>
        <w:spacing w:before="120" w:after="120"/>
        <w:ind w:left="1071"/>
        <w:rPr>
          <w:rFonts w:cs="Arial"/>
          <w:color w:val="0D0D0D" w:themeColor="text1" w:themeTint="F2"/>
          <w:szCs w:val="21"/>
        </w:rPr>
      </w:pPr>
      <w:r w:rsidRPr="000764CC">
        <w:rPr>
          <w:rFonts w:cs="Arial"/>
          <w:color w:val="0D0D0D" w:themeColor="text1" w:themeTint="F2"/>
          <w:szCs w:val="21"/>
        </w:rPr>
        <w:t xml:space="preserve">This “single pane of glass” allows the Consortium to track progress </w:t>
      </w:r>
      <w:r w:rsidR="00FC125C" w:rsidRPr="000764CC">
        <w:rPr>
          <w:rFonts w:cs="Arial"/>
          <w:color w:val="0D0D0D" w:themeColor="text1" w:themeTint="F2"/>
          <w:szCs w:val="21"/>
        </w:rPr>
        <w:t>objectively focusing</w:t>
      </w:r>
      <w:r w:rsidRPr="000764CC">
        <w:rPr>
          <w:rFonts w:cs="Arial"/>
          <w:color w:val="0D0D0D" w:themeColor="text1" w:themeTint="F2"/>
          <w:szCs w:val="21"/>
        </w:rPr>
        <w:t xml:space="preserve"> on improvement, not attribution.</w:t>
      </w:r>
    </w:p>
    <w:p w14:paraId="1B8128D9" w14:textId="77777777" w:rsidR="004C09A0" w:rsidRDefault="000764CC" w:rsidP="00206A0F">
      <w:pPr>
        <w:spacing w:before="120" w:after="120"/>
        <w:ind w:left="360"/>
        <w:rPr>
          <w:noProof/>
        </w:rPr>
      </w:pPr>
      <w:r w:rsidRPr="000764CC">
        <w:rPr>
          <w:rFonts w:cs="Arial"/>
          <w:color w:val="0D0D0D" w:themeColor="text1" w:themeTint="F2"/>
          <w:szCs w:val="21"/>
        </w:rPr>
        <w:lastRenderedPageBreak/>
        <w:t>The following figure provides a sample view of the Quality Index Dashboard that IBM will configure for CalSAWS. It consolidates key performance indicators across vendors</w:t>
      </w:r>
      <w:r w:rsidR="00FC125C">
        <w:rPr>
          <w:rFonts w:cs="Arial"/>
          <w:color w:val="0D0D0D" w:themeColor="text1" w:themeTint="F2"/>
          <w:szCs w:val="21"/>
        </w:rPr>
        <w:t xml:space="preserve"> </w:t>
      </w:r>
      <w:r w:rsidRPr="000764CC">
        <w:rPr>
          <w:rFonts w:cs="Arial"/>
          <w:color w:val="0D0D0D" w:themeColor="text1" w:themeTint="F2"/>
          <w:szCs w:val="21"/>
        </w:rPr>
        <w:t>giving the Consortium a clear, data-driven picture of quality trends, release readiness, and system health.</w:t>
      </w:r>
      <w:r w:rsidR="004C09A0" w:rsidRPr="004C09A0">
        <w:rPr>
          <w:noProof/>
        </w:rPr>
        <w:t xml:space="preserve"> </w:t>
      </w:r>
    </w:p>
    <w:p w14:paraId="172F0C0F" w14:textId="06B719E8" w:rsidR="000764CC" w:rsidRDefault="004C09A0" w:rsidP="00175F24">
      <w:pPr>
        <w:spacing w:before="120" w:after="120"/>
        <w:ind w:left="360"/>
      </w:pPr>
      <w:r w:rsidRPr="004C09A0">
        <w:rPr>
          <w:rFonts w:cs="Arial"/>
          <w:noProof/>
          <w:color w:val="0D0D0D" w:themeColor="text1" w:themeTint="F2"/>
          <w:szCs w:val="21"/>
        </w:rPr>
        <w:drawing>
          <wp:inline distT="0" distB="0" distL="0" distR="0" wp14:anchorId="1779C697" wp14:editId="4BF39F82">
            <wp:extent cx="5943600" cy="2994025"/>
            <wp:effectExtent l="0" t="0" r="0" b="3175"/>
            <wp:docPr id="67725860"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5860" name="Picture 1" descr="A screenshot of a computer screen&#10;&#10;AI-generated content may be incorrect."/>
                    <pic:cNvPicPr/>
                  </pic:nvPicPr>
                  <pic:blipFill>
                    <a:blip r:embed="rId12"/>
                    <a:stretch>
                      <a:fillRect/>
                    </a:stretch>
                  </pic:blipFill>
                  <pic:spPr>
                    <a:xfrm>
                      <a:off x="0" y="0"/>
                      <a:ext cx="5943600" cy="2994025"/>
                    </a:xfrm>
                    <a:prstGeom prst="rect">
                      <a:avLst/>
                    </a:prstGeom>
                  </pic:spPr>
                </pic:pic>
              </a:graphicData>
            </a:graphic>
          </wp:inline>
        </w:drawing>
      </w:r>
    </w:p>
    <w:p w14:paraId="0E984645" w14:textId="2DF5B578" w:rsidR="000764CC" w:rsidRPr="00A82685" w:rsidRDefault="00A82685" w:rsidP="00206A0F">
      <w:pPr>
        <w:pStyle w:val="Caption"/>
        <w:ind w:left="360"/>
        <w:jc w:val="center"/>
        <w:rPr>
          <w:rFonts w:cs="Arial"/>
          <w:color w:val="auto"/>
          <w:szCs w:val="21"/>
        </w:rPr>
      </w:pPr>
      <w:bookmarkStart w:id="27" w:name="_Toc212408696"/>
      <w:r>
        <w:t xml:space="preserve">Figure 4.2.1. </w:t>
      </w:r>
      <w:r>
        <w:fldChar w:fldCharType="begin"/>
      </w:r>
      <w:r>
        <w:instrText xml:space="preserve"> SEQ Figure_4.2.1. \* ARABIC </w:instrText>
      </w:r>
      <w:r>
        <w:fldChar w:fldCharType="separate"/>
      </w:r>
      <w:r w:rsidR="00FB29F8">
        <w:rPr>
          <w:noProof/>
        </w:rPr>
        <w:t>1</w:t>
      </w:r>
      <w:r>
        <w:fldChar w:fldCharType="end"/>
      </w:r>
      <w:r w:rsidR="000764CC">
        <w:t xml:space="preserve"> Quality Index Dashboard</w:t>
      </w:r>
      <w:bookmarkEnd w:id="27"/>
    </w:p>
    <w:p w14:paraId="02CC7241" w14:textId="77777777" w:rsidR="000764CC" w:rsidRPr="000764CC" w:rsidRDefault="000764CC" w:rsidP="00206A0F">
      <w:pPr>
        <w:numPr>
          <w:ilvl w:val="0"/>
          <w:numId w:val="11"/>
        </w:numPr>
        <w:spacing w:before="60"/>
        <w:ind w:left="717" w:hanging="357"/>
        <w:rPr>
          <w:rFonts w:cs="Arial"/>
          <w:b/>
          <w:bCs/>
          <w:szCs w:val="21"/>
        </w:rPr>
      </w:pPr>
      <w:r w:rsidRPr="000764CC">
        <w:rPr>
          <w:rFonts w:cs="Arial"/>
          <w:b/>
          <w:bCs/>
          <w:szCs w:val="21"/>
        </w:rPr>
        <w:t>Collaboration Analytics (IBM IQP+) — Included</w:t>
      </w:r>
    </w:p>
    <w:p w14:paraId="7847E008" w14:textId="77777777" w:rsidR="000764CC" w:rsidRPr="000764CC" w:rsidRDefault="000764CC" w:rsidP="00206A0F">
      <w:pPr>
        <w:spacing w:before="120" w:after="120"/>
        <w:ind w:left="1074"/>
        <w:rPr>
          <w:rFonts w:cs="Arial"/>
          <w:color w:val="0D0D0D" w:themeColor="text1" w:themeTint="F2"/>
          <w:szCs w:val="21"/>
        </w:rPr>
      </w:pPr>
      <w:r w:rsidRPr="000764CC">
        <w:rPr>
          <w:rFonts w:cs="Arial"/>
          <w:color w:val="0D0D0D" w:themeColor="text1" w:themeTint="F2"/>
          <w:szCs w:val="21"/>
        </w:rPr>
        <w:t xml:space="preserve">IBM’s </w:t>
      </w:r>
      <w:r w:rsidRPr="000764CC">
        <w:rPr>
          <w:rFonts w:cs="Arial"/>
          <w:b/>
          <w:bCs/>
          <w:color w:val="0D0D0D" w:themeColor="text1" w:themeTint="F2"/>
          <w:szCs w:val="21"/>
        </w:rPr>
        <w:t>Intelligent Quality Platform (IQP+)</w:t>
      </w:r>
      <w:r w:rsidRPr="000764CC">
        <w:rPr>
          <w:rFonts w:cs="Arial"/>
          <w:color w:val="0D0D0D" w:themeColor="text1" w:themeTint="F2"/>
          <w:szCs w:val="21"/>
        </w:rPr>
        <w:t xml:space="preserve"> enhances transparency through predictive analytics and trend analysis:</w:t>
      </w:r>
    </w:p>
    <w:p w14:paraId="786A8A7E" w14:textId="77777777" w:rsidR="000764CC" w:rsidRPr="000764CC" w:rsidRDefault="000764CC" w:rsidP="00206A0F">
      <w:pPr>
        <w:numPr>
          <w:ilvl w:val="0"/>
          <w:numId w:val="12"/>
        </w:numPr>
        <w:spacing w:before="60"/>
        <w:ind w:left="1428" w:hanging="357"/>
        <w:rPr>
          <w:rFonts w:cs="Arial"/>
          <w:szCs w:val="21"/>
        </w:rPr>
      </w:pPr>
      <w:r w:rsidRPr="000764CC">
        <w:rPr>
          <w:rFonts w:cs="Arial"/>
          <w:szCs w:val="21"/>
        </w:rPr>
        <w:t>Identifies recurring defect types and systemic process gaps.</w:t>
      </w:r>
    </w:p>
    <w:p w14:paraId="2A4FF0CC" w14:textId="77777777" w:rsidR="000764CC" w:rsidRPr="000764CC" w:rsidRDefault="000764CC" w:rsidP="00206A0F">
      <w:pPr>
        <w:numPr>
          <w:ilvl w:val="0"/>
          <w:numId w:val="12"/>
        </w:numPr>
        <w:spacing w:before="60"/>
        <w:ind w:left="1428" w:hanging="357"/>
        <w:rPr>
          <w:rFonts w:cs="Arial"/>
          <w:szCs w:val="21"/>
        </w:rPr>
      </w:pPr>
      <w:r w:rsidRPr="000764CC">
        <w:rPr>
          <w:rFonts w:cs="Arial"/>
          <w:szCs w:val="21"/>
        </w:rPr>
        <w:t>Correlates QA findings with release performance and vendor activity.</w:t>
      </w:r>
    </w:p>
    <w:p w14:paraId="57D580AC" w14:textId="77777777" w:rsidR="000764CC" w:rsidRPr="000764CC" w:rsidRDefault="000764CC" w:rsidP="00206A0F">
      <w:pPr>
        <w:numPr>
          <w:ilvl w:val="0"/>
          <w:numId w:val="12"/>
        </w:numPr>
        <w:spacing w:before="60"/>
        <w:ind w:left="1428" w:hanging="357"/>
        <w:rPr>
          <w:rFonts w:cs="Arial"/>
          <w:szCs w:val="21"/>
        </w:rPr>
      </w:pPr>
      <w:r w:rsidRPr="000764CC">
        <w:rPr>
          <w:rFonts w:cs="Arial"/>
          <w:szCs w:val="21"/>
        </w:rPr>
        <w:t>Supports early warning for at-risk modules or recurring interface failures.</w:t>
      </w:r>
      <w:r w:rsidRPr="000764CC">
        <w:rPr>
          <w:rFonts w:cs="Arial"/>
          <w:szCs w:val="21"/>
        </w:rPr>
        <w:br/>
        <w:t xml:space="preserve">Insights from IQP+ are shared with all contractors and the PMO through joint quality reviews, ensuring that analytics drive </w:t>
      </w:r>
      <w:r w:rsidRPr="000764CC">
        <w:rPr>
          <w:rFonts w:cs="Arial"/>
          <w:b/>
          <w:bCs/>
          <w:szCs w:val="21"/>
        </w:rPr>
        <w:t>collective problem-solving</w:t>
      </w:r>
      <w:r w:rsidRPr="000764CC">
        <w:rPr>
          <w:rFonts w:cs="Arial"/>
          <w:szCs w:val="21"/>
        </w:rPr>
        <w:t>, not siloed reporting.</w:t>
      </w:r>
    </w:p>
    <w:p w14:paraId="34B63A06" w14:textId="77777777" w:rsidR="000764CC" w:rsidRPr="000764CC" w:rsidRDefault="000764CC" w:rsidP="00206A0F">
      <w:pPr>
        <w:numPr>
          <w:ilvl w:val="0"/>
          <w:numId w:val="11"/>
        </w:numPr>
        <w:spacing w:before="60"/>
        <w:ind w:left="717" w:hanging="357"/>
        <w:rPr>
          <w:rFonts w:cs="Arial"/>
          <w:b/>
          <w:bCs/>
          <w:szCs w:val="21"/>
        </w:rPr>
      </w:pPr>
      <w:r w:rsidRPr="000764CC">
        <w:rPr>
          <w:rFonts w:cs="Arial"/>
          <w:b/>
          <w:bCs/>
          <w:szCs w:val="21"/>
        </w:rPr>
        <w:t>Microsoft Teams and Shared Workspaces</w:t>
      </w:r>
    </w:p>
    <w:p w14:paraId="4DDCD577" w14:textId="77777777" w:rsidR="000764CC" w:rsidRPr="000764CC" w:rsidRDefault="000764CC" w:rsidP="00206A0F">
      <w:pPr>
        <w:spacing w:before="120" w:after="120"/>
        <w:ind w:left="1074"/>
        <w:rPr>
          <w:rFonts w:cs="Arial"/>
          <w:color w:val="0D0D0D" w:themeColor="text1" w:themeTint="F2"/>
          <w:szCs w:val="21"/>
        </w:rPr>
      </w:pPr>
      <w:r w:rsidRPr="000764CC">
        <w:rPr>
          <w:rFonts w:cs="Arial"/>
          <w:color w:val="0D0D0D" w:themeColor="text1" w:themeTint="F2"/>
          <w:szCs w:val="21"/>
        </w:rPr>
        <w:t>Persistent collaboration channels, shared repositories, and document control structures facilitate day-to-day communication and decision-making:</w:t>
      </w:r>
    </w:p>
    <w:p w14:paraId="2BF6158A" w14:textId="77777777" w:rsidR="000764CC" w:rsidRPr="000764CC" w:rsidRDefault="000764CC" w:rsidP="00206A0F">
      <w:pPr>
        <w:numPr>
          <w:ilvl w:val="0"/>
          <w:numId w:val="12"/>
        </w:numPr>
        <w:spacing w:before="60"/>
        <w:ind w:left="1428" w:hanging="357"/>
        <w:rPr>
          <w:rFonts w:cs="Arial"/>
          <w:szCs w:val="21"/>
        </w:rPr>
      </w:pPr>
      <w:r w:rsidRPr="000764CC">
        <w:rPr>
          <w:rFonts w:cs="Arial"/>
          <w:szCs w:val="21"/>
        </w:rPr>
        <w:t>Enables quick alignment on open issues or pending deliverables.</w:t>
      </w:r>
    </w:p>
    <w:p w14:paraId="1AA52AC6" w14:textId="77777777" w:rsidR="000764CC" w:rsidRPr="000764CC" w:rsidRDefault="000764CC" w:rsidP="00206A0F">
      <w:pPr>
        <w:numPr>
          <w:ilvl w:val="0"/>
          <w:numId w:val="12"/>
        </w:numPr>
        <w:spacing w:before="60"/>
        <w:ind w:left="1428" w:hanging="357"/>
        <w:rPr>
          <w:rFonts w:cs="Arial"/>
          <w:szCs w:val="21"/>
        </w:rPr>
      </w:pPr>
      <w:r w:rsidRPr="000764CC">
        <w:rPr>
          <w:rFonts w:cs="Arial"/>
          <w:szCs w:val="21"/>
        </w:rPr>
        <w:t>Supports version control for shared QA artifacts.</w:t>
      </w:r>
    </w:p>
    <w:p w14:paraId="4D66A706" w14:textId="77777777" w:rsidR="000764CC" w:rsidRPr="000764CC" w:rsidRDefault="000764CC" w:rsidP="00206A0F">
      <w:pPr>
        <w:numPr>
          <w:ilvl w:val="0"/>
          <w:numId w:val="12"/>
        </w:numPr>
        <w:spacing w:before="60"/>
        <w:ind w:left="1428" w:hanging="357"/>
        <w:rPr>
          <w:rFonts w:cs="Arial"/>
          <w:szCs w:val="21"/>
        </w:rPr>
      </w:pPr>
      <w:r w:rsidRPr="000764CC">
        <w:rPr>
          <w:rFonts w:cs="Arial"/>
          <w:szCs w:val="21"/>
        </w:rPr>
        <w:t>Ensures historical traceability for all decisions, feedback, and action items.</w:t>
      </w:r>
    </w:p>
    <w:p w14:paraId="76227AC0" w14:textId="77777777" w:rsidR="000764CC" w:rsidRPr="000764CC" w:rsidRDefault="000764CC" w:rsidP="00206A0F">
      <w:pPr>
        <w:numPr>
          <w:ilvl w:val="0"/>
          <w:numId w:val="11"/>
        </w:numPr>
        <w:spacing w:before="60"/>
        <w:ind w:left="717" w:hanging="357"/>
        <w:rPr>
          <w:rFonts w:cs="Arial"/>
          <w:b/>
          <w:bCs/>
          <w:szCs w:val="21"/>
        </w:rPr>
      </w:pPr>
      <w:r w:rsidRPr="000764CC">
        <w:rPr>
          <w:rFonts w:cs="Arial"/>
          <w:b/>
          <w:bCs/>
          <w:szCs w:val="21"/>
        </w:rPr>
        <w:t>Plain-Language Explanation (for Non-Technical Readers)</w:t>
      </w:r>
    </w:p>
    <w:p w14:paraId="23CC1555" w14:textId="77777777" w:rsidR="000764CC" w:rsidRPr="000764CC" w:rsidRDefault="000764CC" w:rsidP="00206A0F">
      <w:pPr>
        <w:spacing w:before="120" w:after="120"/>
        <w:ind w:left="1074"/>
        <w:rPr>
          <w:rFonts w:cs="Arial"/>
          <w:color w:val="0D0D0D" w:themeColor="text1" w:themeTint="F2"/>
          <w:szCs w:val="21"/>
        </w:rPr>
      </w:pPr>
      <w:r w:rsidRPr="000764CC">
        <w:rPr>
          <w:rFonts w:cs="Arial"/>
          <w:color w:val="0D0D0D" w:themeColor="text1" w:themeTint="F2"/>
          <w:szCs w:val="21"/>
        </w:rPr>
        <w:t>Some QA tools involve technical scanning and automation components. For clarity:</w:t>
      </w:r>
    </w:p>
    <w:p w14:paraId="675B21D6" w14:textId="77777777" w:rsidR="000764CC" w:rsidRPr="000764CC" w:rsidRDefault="000764CC" w:rsidP="00206A0F">
      <w:pPr>
        <w:numPr>
          <w:ilvl w:val="0"/>
          <w:numId w:val="12"/>
        </w:numPr>
        <w:spacing w:before="60"/>
        <w:ind w:left="1431" w:hanging="357"/>
        <w:rPr>
          <w:rFonts w:cs="Arial"/>
          <w:szCs w:val="21"/>
        </w:rPr>
      </w:pPr>
      <w:r w:rsidRPr="000764CC">
        <w:rPr>
          <w:rFonts w:cs="Arial"/>
          <w:b/>
          <w:bCs/>
          <w:szCs w:val="21"/>
        </w:rPr>
        <w:t>SAST (Static Application Security Testing):</w:t>
      </w:r>
      <w:r w:rsidRPr="000764CC">
        <w:rPr>
          <w:rFonts w:cs="Arial"/>
          <w:szCs w:val="21"/>
        </w:rPr>
        <w:t xml:space="preserve"> scans code for vulnerabilities before it runs.</w:t>
      </w:r>
    </w:p>
    <w:p w14:paraId="2E2E0548" w14:textId="77777777" w:rsidR="000764CC" w:rsidRPr="000764CC" w:rsidRDefault="000764CC" w:rsidP="00206A0F">
      <w:pPr>
        <w:numPr>
          <w:ilvl w:val="0"/>
          <w:numId w:val="12"/>
        </w:numPr>
        <w:spacing w:before="60"/>
        <w:ind w:left="1431" w:hanging="357"/>
        <w:rPr>
          <w:rFonts w:cs="Arial"/>
          <w:szCs w:val="21"/>
        </w:rPr>
      </w:pPr>
      <w:r w:rsidRPr="000764CC">
        <w:rPr>
          <w:rFonts w:cs="Arial"/>
          <w:b/>
          <w:bCs/>
          <w:szCs w:val="21"/>
        </w:rPr>
        <w:lastRenderedPageBreak/>
        <w:t>DAST (Dynamic Application Security Testing):</w:t>
      </w:r>
      <w:r w:rsidRPr="000764CC">
        <w:rPr>
          <w:rFonts w:cs="Arial"/>
          <w:szCs w:val="21"/>
        </w:rPr>
        <w:t xml:space="preserve"> tests for vulnerabilities in the running application.</w:t>
      </w:r>
    </w:p>
    <w:p w14:paraId="368D5C45" w14:textId="77777777" w:rsidR="000764CC" w:rsidRPr="000764CC" w:rsidRDefault="000764CC" w:rsidP="00206A0F">
      <w:pPr>
        <w:numPr>
          <w:ilvl w:val="0"/>
          <w:numId w:val="12"/>
        </w:numPr>
        <w:spacing w:before="60"/>
        <w:ind w:left="1431" w:hanging="357"/>
        <w:rPr>
          <w:rFonts w:cs="Arial"/>
          <w:szCs w:val="21"/>
        </w:rPr>
      </w:pPr>
      <w:r w:rsidRPr="000764CC">
        <w:rPr>
          <w:rFonts w:cs="Arial"/>
          <w:b/>
          <w:bCs/>
          <w:szCs w:val="21"/>
        </w:rPr>
        <w:t>SCA (Software Composition Analysis):</w:t>
      </w:r>
      <w:r w:rsidRPr="000764CC">
        <w:rPr>
          <w:rFonts w:cs="Arial"/>
          <w:szCs w:val="21"/>
        </w:rPr>
        <w:t xml:space="preserve"> checks third-party libraries for known security risks.</w:t>
      </w:r>
    </w:p>
    <w:p w14:paraId="681996FC" w14:textId="77777777" w:rsidR="000764CC" w:rsidRPr="000764CC" w:rsidRDefault="000764CC" w:rsidP="00206A0F">
      <w:pPr>
        <w:spacing w:before="120" w:after="120"/>
        <w:ind w:left="1074"/>
        <w:rPr>
          <w:rFonts w:cs="Arial"/>
          <w:color w:val="0D0D0D" w:themeColor="text1" w:themeTint="F2"/>
          <w:szCs w:val="21"/>
        </w:rPr>
      </w:pPr>
      <w:r w:rsidRPr="000764CC">
        <w:rPr>
          <w:rFonts w:cs="Arial"/>
          <w:color w:val="0D0D0D" w:themeColor="text1" w:themeTint="F2"/>
          <w:szCs w:val="21"/>
        </w:rPr>
        <w:t>These tools are industry standards integrated directly into the CI/CD pipeline and coordinated with existing vendor tools. IBM will configure and manage these capabilities in alignment with Consortium security and DevSecOps practices.</w:t>
      </w:r>
    </w:p>
    <w:p w14:paraId="38C22C2C" w14:textId="77777777" w:rsidR="000764CC" w:rsidRPr="000764CC" w:rsidRDefault="000764CC" w:rsidP="00206A0F">
      <w:pPr>
        <w:numPr>
          <w:ilvl w:val="0"/>
          <w:numId w:val="11"/>
        </w:numPr>
        <w:spacing w:before="60"/>
        <w:ind w:left="717" w:hanging="357"/>
        <w:rPr>
          <w:rFonts w:cs="Arial"/>
          <w:b/>
          <w:bCs/>
          <w:szCs w:val="21"/>
        </w:rPr>
      </w:pPr>
      <w:r w:rsidRPr="000764CC">
        <w:rPr>
          <w:rFonts w:cs="Arial"/>
          <w:b/>
          <w:bCs/>
          <w:szCs w:val="21"/>
        </w:rPr>
        <w:t>Shared Outcomes</w:t>
      </w:r>
    </w:p>
    <w:p w14:paraId="0C2559AC" w14:textId="77777777" w:rsidR="000764CC" w:rsidRPr="000764CC" w:rsidRDefault="000764CC" w:rsidP="00206A0F">
      <w:pPr>
        <w:spacing w:before="120" w:after="120"/>
        <w:ind w:left="1074"/>
        <w:rPr>
          <w:rFonts w:cstheme="minorHAnsi"/>
          <w:color w:val="auto"/>
          <w:szCs w:val="21"/>
        </w:rPr>
      </w:pPr>
      <w:r w:rsidRPr="000764CC">
        <w:rPr>
          <w:rFonts w:cs="Arial"/>
          <w:color w:val="0D0D0D" w:themeColor="text1" w:themeTint="F2"/>
          <w:szCs w:val="21"/>
        </w:rPr>
        <w:t>These tools and practices make it possible for all CalSAWS partners to:</w:t>
      </w:r>
    </w:p>
    <w:p w14:paraId="0FEDCC1E" w14:textId="77777777" w:rsidR="000764CC" w:rsidRPr="000764CC" w:rsidRDefault="000764CC" w:rsidP="00206A0F">
      <w:pPr>
        <w:numPr>
          <w:ilvl w:val="0"/>
          <w:numId w:val="12"/>
        </w:numPr>
        <w:spacing w:before="60"/>
        <w:ind w:left="1431" w:hanging="357"/>
        <w:rPr>
          <w:rFonts w:cs="Arial"/>
          <w:szCs w:val="21"/>
        </w:rPr>
      </w:pPr>
      <w:r w:rsidRPr="000764CC">
        <w:rPr>
          <w:rFonts w:cs="Arial"/>
          <w:szCs w:val="21"/>
        </w:rPr>
        <w:t xml:space="preserve">Operate from </w:t>
      </w:r>
      <w:r w:rsidRPr="000764CC">
        <w:rPr>
          <w:rFonts w:cs="Arial"/>
          <w:b/>
          <w:bCs/>
          <w:szCs w:val="21"/>
        </w:rPr>
        <w:t>shared, real-time data</w:t>
      </w:r>
      <w:r w:rsidRPr="000764CC">
        <w:rPr>
          <w:rFonts w:cs="Arial"/>
          <w:szCs w:val="21"/>
        </w:rPr>
        <w:t xml:space="preserve"> on quality and risk.</w:t>
      </w:r>
    </w:p>
    <w:p w14:paraId="30BC49F4" w14:textId="77777777" w:rsidR="000764CC" w:rsidRPr="000764CC" w:rsidRDefault="000764CC" w:rsidP="00206A0F">
      <w:pPr>
        <w:numPr>
          <w:ilvl w:val="0"/>
          <w:numId w:val="12"/>
        </w:numPr>
        <w:spacing w:before="60"/>
        <w:ind w:left="1431" w:hanging="357"/>
        <w:rPr>
          <w:rFonts w:cs="Arial"/>
          <w:szCs w:val="21"/>
        </w:rPr>
      </w:pPr>
      <w:r w:rsidRPr="000764CC">
        <w:rPr>
          <w:rFonts w:cs="Arial"/>
          <w:szCs w:val="21"/>
        </w:rPr>
        <w:t>Identify and resolve cross-vendor issues early, before they affect releases.</w:t>
      </w:r>
    </w:p>
    <w:p w14:paraId="426DF22D" w14:textId="77777777" w:rsidR="000764CC" w:rsidRPr="000764CC" w:rsidRDefault="000764CC" w:rsidP="00206A0F">
      <w:pPr>
        <w:numPr>
          <w:ilvl w:val="0"/>
          <w:numId w:val="12"/>
        </w:numPr>
        <w:spacing w:before="60"/>
        <w:ind w:left="1431" w:hanging="357"/>
        <w:rPr>
          <w:rFonts w:cs="Arial"/>
          <w:szCs w:val="21"/>
        </w:rPr>
      </w:pPr>
      <w:r w:rsidRPr="000764CC">
        <w:rPr>
          <w:rFonts w:cs="Arial"/>
          <w:szCs w:val="21"/>
        </w:rPr>
        <w:t xml:space="preserve">Maintain a </w:t>
      </w:r>
      <w:r w:rsidRPr="000764CC">
        <w:rPr>
          <w:rFonts w:cs="Arial"/>
          <w:b/>
          <w:bCs/>
          <w:szCs w:val="21"/>
        </w:rPr>
        <w:t>culture of transparency and accountability</w:t>
      </w:r>
      <w:r w:rsidRPr="000764CC">
        <w:rPr>
          <w:rFonts w:cs="Arial"/>
          <w:szCs w:val="21"/>
        </w:rPr>
        <w:t>, backed by measurable metrics.</w:t>
      </w:r>
    </w:p>
    <w:p w14:paraId="0EF08EB4" w14:textId="77777777" w:rsidR="000764CC" w:rsidRPr="000764CC" w:rsidRDefault="000764CC" w:rsidP="00206A0F">
      <w:pPr>
        <w:spacing w:before="120" w:after="120"/>
        <w:ind w:left="1074"/>
        <w:rPr>
          <w:rFonts w:cs="Arial"/>
          <w:color w:val="0D0D0D" w:themeColor="text1" w:themeTint="F2"/>
          <w:szCs w:val="21"/>
        </w:rPr>
      </w:pPr>
      <w:r w:rsidRPr="000764CC">
        <w:rPr>
          <w:rFonts w:cs="Arial"/>
          <w:color w:val="0D0D0D" w:themeColor="text1" w:themeTint="F2"/>
          <w:szCs w:val="21"/>
        </w:rPr>
        <w:t>Together, they enable the Consortium to lead a truly collaborative QA environment, one where every contractor’s performance contributes to a unified picture of system readiness and citizen impact.</w:t>
      </w:r>
    </w:p>
    <w:p w14:paraId="3D9F4783" w14:textId="77C38D21" w:rsidR="000764CC" w:rsidRPr="000764CC" w:rsidRDefault="000764CC" w:rsidP="28AA4E31">
      <w:pPr>
        <w:spacing w:before="120" w:after="120"/>
        <w:ind w:left="360" w:hanging="360"/>
        <w:rPr>
          <w:rFonts w:cstheme="minorBidi"/>
          <w:b/>
          <w:bCs/>
          <w:color w:val="auto"/>
        </w:rPr>
      </w:pPr>
      <w:r w:rsidRPr="28AA4E31">
        <w:rPr>
          <w:rFonts w:cs="Arial"/>
          <w:b/>
          <w:bCs/>
          <w:color w:val="0D0D0D" w:themeColor="text2" w:themeTint="F2"/>
        </w:rPr>
        <w:t>4.</w:t>
      </w:r>
      <w:r>
        <w:tab/>
      </w:r>
      <w:r w:rsidRPr="28AA4E31">
        <w:rPr>
          <w:rFonts w:cs="Arial"/>
          <w:b/>
          <w:bCs/>
          <w:color w:val="0D0D0D" w:themeColor="text2" w:themeTint="F2"/>
        </w:rPr>
        <w:t>IBM’s Quality Management System (QMS)</w:t>
      </w:r>
    </w:p>
    <w:p w14:paraId="2AFCC068" w14:textId="23F3ADD0" w:rsidR="008F3A3D" w:rsidRPr="008F3A3D" w:rsidRDefault="008F3A3D" w:rsidP="00A06CBD">
      <w:pPr>
        <w:spacing w:before="100" w:beforeAutospacing="1" w:after="0"/>
        <w:rPr>
          <w:rFonts w:cs="Arial"/>
          <w:color w:val="0D0D0D" w:themeColor="text1" w:themeTint="F2"/>
        </w:rPr>
      </w:pPr>
      <w:r w:rsidRPr="28AA4E31">
        <w:rPr>
          <w:rFonts w:cs="Arial"/>
          <w:color w:val="0D0D0D" w:themeColor="text2" w:themeTint="F2"/>
        </w:rPr>
        <w:t>The CalSAWS Consortium requires a QA partner that can bring structure, consistency, and rigor while effectively collaborating within an established multi-contractor ecosystem. IBM’s Quality Management System (QMS) provides this foundation—a proven, standards-based framework that reinforces governance, accountability, and continuous improvement across every QA activity.</w:t>
      </w:r>
    </w:p>
    <w:p w14:paraId="3D6E0DAE" w14:textId="08939072" w:rsidR="008F3A3D" w:rsidRPr="008F3A3D" w:rsidRDefault="008F3A3D" w:rsidP="00A06CBD">
      <w:pPr>
        <w:spacing w:before="100" w:beforeAutospacing="1" w:after="0"/>
        <w:rPr>
          <w:rFonts w:cs="Arial"/>
          <w:color w:val="0D0D0D" w:themeColor="text1" w:themeTint="F2"/>
        </w:rPr>
      </w:pPr>
      <w:r w:rsidRPr="28AA4E31">
        <w:rPr>
          <w:rFonts w:cs="Arial"/>
          <w:color w:val="0D0D0D" w:themeColor="text2" w:themeTint="F2"/>
        </w:rPr>
        <w:t>IBM’s QMS is aligned to PMBOK and CMMI Level 5 standards and has been refined through decades of experience delivering large-scale HHS and government programs, including California MMIS, Florida DCF, and CWS-CARES. For the CalSAWS engagement, IBM will apply the principles and best practices of its QMS under the direction of the Consortium’s governance structure, ensuring that all QA processes, deliverables, and reviews align with Consortium policies, decision rights, and coordination protocols.</w:t>
      </w:r>
    </w:p>
    <w:p w14:paraId="420F9305" w14:textId="1FA029E1" w:rsidR="008F3A3D" w:rsidRDefault="008F3A3D" w:rsidP="00A06CBD">
      <w:pPr>
        <w:spacing w:before="100" w:beforeAutospacing="1" w:after="0"/>
        <w:rPr>
          <w:rFonts w:cs="Arial"/>
          <w:color w:val="0D0D0D" w:themeColor="text1" w:themeTint="F2"/>
        </w:rPr>
      </w:pPr>
      <w:r w:rsidRPr="28AA4E31">
        <w:rPr>
          <w:rFonts w:cs="Arial"/>
          <w:color w:val="0D0D0D" w:themeColor="text2" w:themeTint="F2"/>
        </w:rPr>
        <w:t>While IBM’s QMS provides a disciplined, repeatable approach to quality management, it will not operate independently of or outside the Consortium’s established multi-vendor governance framework. Instead, it will integrate seamlessly complementing existing processes, strengthening coordination among partner vendors, and promoting transparency across shared QA activities.</w:t>
      </w:r>
    </w:p>
    <w:p w14:paraId="18803926" w14:textId="02CC8FE3" w:rsidR="0056141C" w:rsidRDefault="0056141C" w:rsidP="00A06CBD">
      <w:pPr>
        <w:pStyle w:val="Caption"/>
      </w:pPr>
    </w:p>
    <w:p w14:paraId="1021A2A7" w14:textId="2ED1CEEF" w:rsidR="0056141C" w:rsidRPr="008F3A3D" w:rsidRDefault="0056141C" w:rsidP="00A06CBD">
      <w:r>
        <w:t xml:space="preserve">The following figure illustrates IBM’s </w:t>
      </w:r>
      <w:r w:rsidRPr="28AA4E31">
        <w:rPr>
          <w:rStyle w:val="Strong"/>
        </w:rPr>
        <w:t>Quality Management System (QMS) Cycle</w:t>
      </w:r>
      <w:r>
        <w:t xml:space="preserve">, showing how quality planning, assurance, control, and continuous improvement operate within the CalSAWS governance structure. At the center of this model is the </w:t>
      </w:r>
      <w:r w:rsidRPr="28AA4E31">
        <w:rPr>
          <w:rStyle w:val="Strong"/>
        </w:rPr>
        <w:t>CalSAWS PMO Governance</w:t>
      </w:r>
      <w:r>
        <w:t xml:space="preserve">, which guides and aligns all QA activities across the Consortium’s multi-vendor environment. IBM’s QMS integrated with </w:t>
      </w:r>
      <w:r w:rsidRPr="28AA4E31">
        <w:rPr>
          <w:rStyle w:val="Strong"/>
        </w:rPr>
        <w:t>PMBOK</w:t>
      </w:r>
      <w:r>
        <w:t xml:space="preserve"> and </w:t>
      </w:r>
      <w:r w:rsidRPr="28AA4E31">
        <w:rPr>
          <w:rStyle w:val="Strong"/>
        </w:rPr>
        <w:t>CMMI</w:t>
      </w:r>
      <w:r>
        <w:t xml:space="preserve"> principles, drives discipline, transparency, and continuous improvement while operating fully within the </w:t>
      </w:r>
      <w:r>
        <w:lastRenderedPageBreak/>
        <w:t>Consortium’s established governance model. This ensures that quality management remains consistent, collaborative, and compliant with CalSAWS standards at every stage.</w:t>
      </w:r>
    </w:p>
    <w:p w14:paraId="30B59EE8" w14:textId="77777777" w:rsidR="00206A0F" w:rsidRPr="000764CC" w:rsidRDefault="00206A0F" w:rsidP="000764CC">
      <w:pPr>
        <w:spacing w:before="120" w:after="120"/>
        <w:rPr>
          <w:rFonts w:cs="Arial"/>
          <w:color w:val="0D0D0D" w:themeColor="text1" w:themeTint="F2"/>
          <w:szCs w:val="21"/>
        </w:rPr>
      </w:pPr>
    </w:p>
    <w:p w14:paraId="38F560D2" w14:textId="5018EC50" w:rsidR="000764CC" w:rsidRDefault="009D76AB" w:rsidP="00A82685">
      <w:pPr>
        <w:keepNext/>
        <w:spacing w:before="120" w:after="120"/>
        <w:jc w:val="center"/>
      </w:pPr>
      <w:r w:rsidRPr="009D76AB">
        <w:rPr>
          <w:noProof/>
        </w:rPr>
        <w:drawing>
          <wp:inline distT="0" distB="0" distL="0" distR="0" wp14:anchorId="672E869C" wp14:editId="00F2FC43">
            <wp:extent cx="2946400" cy="2959100"/>
            <wp:effectExtent l="0" t="0" r="0" b="0"/>
            <wp:docPr id="8364742" name="Picture 1" descr="A diagram of a company's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4742" name="Picture 1" descr="A diagram of a company's process&#10;&#10;AI-generated content may be incorrect."/>
                    <pic:cNvPicPr/>
                  </pic:nvPicPr>
                  <pic:blipFill>
                    <a:blip r:embed="rId13"/>
                    <a:stretch>
                      <a:fillRect/>
                    </a:stretch>
                  </pic:blipFill>
                  <pic:spPr>
                    <a:xfrm>
                      <a:off x="0" y="0"/>
                      <a:ext cx="2946400" cy="2959100"/>
                    </a:xfrm>
                    <a:prstGeom prst="rect">
                      <a:avLst/>
                    </a:prstGeom>
                  </pic:spPr>
                </pic:pic>
              </a:graphicData>
            </a:graphic>
          </wp:inline>
        </w:drawing>
      </w:r>
    </w:p>
    <w:p w14:paraId="158A0873" w14:textId="3EFC393D" w:rsidR="00206A0F" w:rsidRPr="009D76AB" w:rsidRDefault="00A82685" w:rsidP="009D76AB">
      <w:pPr>
        <w:pStyle w:val="Caption"/>
        <w:jc w:val="center"/>
      </w:pPr>
      <w:bookmarkStart w:id="28" w:name="_Toc212408697"/>
      <w:r>
        <w:t xml:space="preserve">Figure 4.2.1. </w:t>
      </w:r>
      <w:r>
        <w:fldChar w:fldCharType="begin"/>
      </w:r>
      <w:r>
        <w:instrText xml:space="preserve"> SEQ Figure_4.2.1. \* ARABIC </w:instrText>
      </w:r>
      <w:r>
        <w:fldChar w:fldCharType="separate"/>
      </w:r>
      <w:r w:rsidR="00FB29F8">
        <w:rPr>
          <w:noProof/>
        </w:rPr>
        <w:t>2</w:t>
      </w:r>
      <w:r>
        <w:fldChar w:fldCharType="end"/>
      </w:r>
      <w:r w:rsidR="000764CC">
        <w:t xml:space="preserve"> </w:t>
      </w:r>
      <w:r w:rsidR="00DF2500" w:rsidRPr="00DF2500">
        <w:t>IBM Quality Management System (QMS) Integration Model</w:t>
      </w:r>
      <w:bookmarkEnd w:id="28"/>
    </w:p>
    <w:p w14:paraId="0B117981" w14:textId="77777777" w:rsidR="000764CC" w:rsidRPr="004C3C17" w:rsidRDefault="000764CC" w:rsidP="000764CC">
      <w:pPr>
        <w:spacing w:before="120" w:after="120"/>
        <w:rPr>
          <w:rFonts w:cs="Arial"/>
          <w:color w:val="0070C0"/>
          <w:sz w:val="28"/>
          <w:szCs w:val="28"/>
        </w:rPr>
      </w:pPr>
      <w:r w:rsidRPr="004C3C17">
        <w:rPr>
          <w:rFonts w:cs="Arial"/>
          <w:color w:val="0070C0"/>
          <w:sz w:val="28"/>
          <w:szCs w:val="28"/>
        </w:rPr>
        <w:t>Core QMS Components for CalSAWS</w:t>
      </w:r>
    </w:p>
    <w:p w14:paraId="386F0CDA"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1.</w:t>
      </w:r>
      <w:r w:rsidRPr="000764CC">
        <w:rPr>
          <w:rFonts w:cs="Arial"/>
          <w:b/>
          <w:bCs/>
          <w:color w:val="0D0D0D" w:themeColor="text1" w:themeTint="F2"/>
          <w:szCs w:val="21"/>
        </w:rPr>
        <w:tab/>
        <w:t>Quality Planning</w:t>
      </w:r>
    </w:p>
    <w:p w14:paraId="174CC982" w14:textId="77777777" w:rsidR="000764CC" w:rsidRPr="00A06CBD" w:rsidRDefault="000764CC" w:rsidP="00A06CBD">
      <w:pPr>
        <w:pStyle w:val="ListParagraph"/>
        <w:numPr>
          <w:ilvl w:val="0"/>
          <w:numId w:val="67"/>
        </w:numPr>
        <w:spacing w:before="60"/>
        <w:rPr>
          <w:rFonts w:cs="Arial"/>
          <w:szCs w:val="21"/>
        </w:rPr>
      </w:pPr>
      <w:r w:rsidRPr="00A06CBD">
        <w:rPr>
          <w:rFonts w:cs="Arial"/>
          <w:szCs w:val="21"/>
        </w:rPr>
        <w:t>Collaboratively define quality objectives, performance criteria, and acceptance standards with the Consortium and vendor teams.</w:t>
      </w:r>
    </w:p>
    <w:p w14:paraId="77DB508C" w14:textId="77777777" w:rsidR="000764CC" w:rsidRPr="00A06CBD" w:rsidRDefault="000764CC" w:rsidP="00A06CBD">
      <w:pPr>
        <w:pStyle w:val="ListParagraph"/>
        <w:numPr>
          <w:ilvl w:val="0"/>
          <w:numId w:val="67"/>
        </w:numPr>
        <w:spacing w:before="60"/>
        <w:rPr>
          <w:rFonts w:cs="Arial"/>
          <w:szCs w:val="21"/>
        </w:rPr>
      </w:pPr>
      <w:r w:rsidRPr="00A06CBD">
        <w:rPr>
          <w:rFonts w:cs="Arial"/>
          <w:szCs w:val="21"/>
        </w:rPr>
        <w:t>Align QA activities with CalSAWS’ lifecycle management, release cadence, and deliverable approval process (DED/DEL).</w:t>
      </w:r>
    </w:p>
    <w:p w14:paraId="33AE0046" w14:textId="77777777" w:rsidR="000764CC" w:rsidRPr="00A06CBD" w:rsidRDefault="000764CC" w:rsidP="00A06CBD">
      <w:pPr>
        <w:pStyle w:val="ListParagraph"/>
        <w:numPr>
          <w:ilvl w:val="0"/>
          <w:numId w:val="67"/>
        </w:numPr>
        <w:spacing w:before="60"/>
        <w:rPr>
          <w:rFonts w:cs="Arial"/>
          <w:szCs w:val="21"/>
        </w:rPr>
      </w:pPr>
      <w:r w:rsidRPr="00A06CBD">
        <w:rPr>
          <w:rFonts w:cs="Arial"/>
          <w:szCs w:val="21"/>
        </w:rPr>
        <w:t>Ensure quality objectives directly reflect the Consortium’s mission of reliable, equitable benefit delivery.</w:t>
      </w:r>
    </w:p>
    <w:p w14:paraId="354D492F"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2.</w:t>
      </w:r>
      <w:r w:rsidRPr="000764CC">
        <w:rPr>
          <w:rFonts w:cs="Arial"/>
          <w:b/>
          <w:bCs/>
          <w:color w:val="0D0D0D" w:themeColor="text1" w:themeTint="F2"/>
          <w:szCs w:val="21"/>
        </w:rPr>
        <w:tab/>
        <w:t>Quality Assurance</w:t>
      </w:r>
    </w:p>
    <w:p w14:paraId="70FD5C0D" w14:textId="77777777" w:rsidR="000764CC" w:rsidRPr="00A06CBD" w:rsidRDefault="000764CC" w:rsidP="00A06CBD">
      <w:pPr>
        <w:pStyle w:val="ListParagraph"/>
        <w:numPr>
          <w:ilvl w:val="0"/>
          <w:numId w:val="68"/>
        </w:numPr>
        <w:spacing w:before="60"/>
        <w:rPr>
          <w:rFonts w:cs="Arial"/>
          <w:szCs w:val="21"/>
        </w:rPr>
      </w:pPr>
      <w:r w:rsidRPr="00A06CBD">
        <w:rPr>
          <w:rFonts w:cs="Arial"/>
          <w:szCs w:val="21"/>
        </w:rPr>
        <w:t>Monitor compliance with approved standards and processes across all QA and contractor activities.</w:t>
      </w:r>
    </w:p>
    <w:p w14:paraId="42C13F9B" w14:textId="77777777" w:rsidR="000764CC" w:rsidRPr="00A06CBD" w:rsidRDefault="000764CC" w:rsidP="00A06CBD">
      <w:pPr>
        <w:pStyle w:val="ListParagraph"/>
        <w:numPr>
          <w:ilvl w:val="0"/>
          <w:numId w:val="68"/>
        </w:numPr>
        <w:spacing w:before="60"/>
        <w:rPr>
          <w:rFonts w:cs="Arial"/>
          <w:szCs w:val="21"/>
        </w:rPr>
      </w:pPr>
      <w:r w:rsidRPr="00A06CBD">
        <w:rPr>
          <w:rFonts w:cs="Arial"/>
          <w:szCs w:val="21"/>
        </w:rPr>
        <w:t>Facilitate process audits and joint quality reviews to validate alignment with the Quality Assurance Plan (D-QA-01).</w:t>
      </w:r>
    </w:p>
    <w:p w14:paraId="0AB1F1E8" w14:textId="77777777" w:rsidR="000764CC" w:rsidRPr="00A06CBD" w:rsidRDefault="000764CC" w:rsidP="00A06CBD">
      <w:pPr>
        <w:pStyle w:val="ListParagraph"/>
        <w:numPr>
          <w:ilvl w:val="0"/>
          <w:numId w:val="68"/>
        </w:numPr>
        <w:spacing w:before="60"/>
        <w:rPr>
          <w:rFonts w:cs="Arial"/>
          <w:szCs w:val="21"/>
        </w:rPr>
      </w:pPr>
      <w:r w:rsidRPr="00A06CBD">
        <w:rPr>
          <w:rFonts w:cs="Arial"/>
          <w:szCs w:val="21"/>
        </w:rPr>
        <w:t>Leverage Consortium dashboards to make QA results visible in real time.</w:t>
      </w:r>
    </w:p>
    <w:p w14:paraId="679A0787"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3.</w:t>
      </w:r>
      <w:r w:rsidRPr="000764CC">
        <w:rPr>
          <w:rFonts w:cs="Arial"/>
          <w:b/>
          <w:bCs/>
          <w:color w:val="0D0D0D" w:themeColor="text1" w:themeTint="F2"/>
          <w:szCs w:val="21"/>
        </w:rPr>
        <w:tab/>
        <w:t>Quality Control</w:t>
      </w:r>
    </w:p>
    <w:p w14:paraId="1B1FB35E" w14:textId="77777777" w:rsidR="000764CC" w:rsidRPr="00A06CBD" w:rsidRDefault="000764CC" w:rsidP="00A06CBD">
      <w:pPr>
        <w:pStyle w:val="ListParagraph"/>
        <w:numPr>
          <w:ilvl w:val="0"/>
          <w:numId w:val="69"/>
        </w:numPr>
        <w:spacing w:before="60"/>
        <w:rPr>
          <w:rFonts w:cs="Arial"/>
          <w:szCs w:val="21"/>
        </w:rPr>
      </w:pPr>
      <w:r w:rsidRPr="00A06CBD">
        <w:rPr>
          <w:rFonts w:cs="Arial"/>
          <w:szCs w:val="21"/>
        </w:rPr>
        <w:t>Conduct structured reviews of QA deliverables — including test plans, test cases, and metrics — to confirm accuracy, completeness, and traceability.</w:t>
      </w:r>
    </w:p>
    <w:p w14:paraId="2A30D126" w14:textId="77777777" w:rsidR="000764CC" w:rsidRPr="00A06CBD" w:rsidRDefault="000764CC" w:rsidP="00A06CBD">
      <w:pPr>
        <w:pStyle w:val="ListParagraph"/>
        <w:numPr>
          <w:ilvl w:val="0"/>
          <w:numId w:val="69"/>
        </w:numPr>
        <w:spacing w:before="60"/>
        <w:rPr>
          <w:rFonts w:cs="Arial"/>
          <w:szCs w:val="21"/>
        </w:rPr>
      </w:pPr>
      <w:r w:rsidRPr="00A06CBD">
        <w:rPr>
          <w:rFonts w:cs="Arial"/>
          <w:szCs w:val="21"/>
        </w:rPr>
        <w:t>Verify that all QA artifacts align to requirements and adhere to acceptance criteria established through DEDs.</w:t>
      </w:r>
    </w:p>
    <w:p w14:paraId="2DD47AE5" w14:textId="77777777" w:rsidR="000764CC" w:rsidRDefault="000764CC" w:rsidP="00A06CBD">
      <w:pPr>
        <w:pStyle w:val="ListParagraph"/>
        <w:numPr>
          <w:ilvl w:val="0"/>
          <w:numId w:val="69"/>
        </w:numPr>
        <w:spacing w:before="60"/>
        <w:rPr>
          <w:rFonts w:cs="Arial"/>
          <w:szCs w:val="21"/>
        </w:rPr>
      </w:pPr>
      <w:r w:rsidRPr="00A06CBD">
        <w:rPr>
          <w:rFonts w:cs="Arial"/>
          <w:szCs w:val="21"/>
        </w:rPr>
        <w:t>Provide transparent findings and corrective recommendations through QA Status Reports (D-QA-03).</w:t>
      </w:r>
    </w:p>
    <w:p w14:paraId="3240CB8F" w14:textId="77777777" w:rsidR="00A06CBD" w:rsidRPr="00A06CBD" w:rsidRDefault="00A06CBD" w:rsidP="00A06CBD">
      <w:pPr>
        <w:spacing w:before="60"/>
        <w:rPr>
          <w:rFonts w:cs="Arial"/>
          <w:szCs w:val="21"/>
        </w:rPr>
      </w:pPr>
    </w:p>
    <w:p w14:paraId="4B7B5FBC"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4.</w:t>
      </w:r>
      <w:r w:rsidRPr="000764CC">
        <w:rPr>
          <w:rFonts w:cs="Arial"/>
          <w:b/>
          <w:bCs/>
          <w:color w:val="0D0D0D" w:themeColor="text1" w:themeTint="F2"/>
          <w:szCs w:val="21"/>
        </w:rPr>
        <w:tab/>
        <w:t>Continuous Improvement</w:t>
      </w:r>
    </w:p>
    <w:p w14:paraId="57148025" w14:textId="77777777" w:rsidR="000764CC" w:rsidRPr="00A06CBD" w:rsidRDefault="000764CC" w:rsidP="00A06CBD">
      <w:pPr>
        <w:pStyle w:val="ListParagraph"/>
        <w:numPr>
          <w:ilvl w:val="0"/>
          <w:numId w:val="70"/>
        </w:numPr>
        <w:spacing w:before="60"/>
        <w:rPr>
          <w:rFonts w:cs="Arial"/>
          <w:szCs w:val="21"/>
        </w:rPr>
      </w:pPr>
      <w:r w:rsidRPr="00A06CBD">
        <w:rPr>
          <w:rFonts w:cs="Arial"/>
          <w:szCs w:val="21"/>
        </w:rPr>
        <w:t>Perform post-release reviews and root-cause analysis (RCA) on all major releases.</w:t>
      </w:r>
    </w:p>
    <w:p w14:paraId="4884E4E8" w14:textId="77777777" w:rsidR="000764CC" w:rsidRPr="00A06CBD" w:rsidRDefault="000764CC" w:rsidP="00A06CBD">
      <w:pPr>
        <w:pStyle w:val="ListParagraph"/>
        <w:numPr>
          <w:ilvl w:val="0"/>
          <w:numId w:val="70"/>
        </w:numPr>
        <w:spacing w:before="60"/>
        <w:rPr>
          <w:rFonts w:cs="Arial"/>
          <w:szCs w:val="21"/>
        </w:rPr>
      </w:pPr>
      <w:r w:rsidRPr="00A06CBD">
        <w:rPr>
          <w:rFonts w:cs="Arial"/>
          <w:szCs w:val="21"/>
        </w:rPr>
        <w:t>Implement corrective and preventive actions (CAPA) to strengthen vendor collaboration, test coverage, and process maturity.</w:t>
      </w:r>
    </w:p>
    <w:p w14:paraId="2D4E6D7A" w14:textId="77777777" w:rsidR="000764CC" w:rsidRPr="00A06CBD" w:rsidRDefault="000764CC" w:rsidP="00A06CBD">
      <w:pPr>
        <w:pStyle w:val="ListParagraph"/>
        <w:numPr>
          <w:ilvl w:val="0"/>
          <w:numId w:val="70"/>
        </w:numPr>
        <w:spacing w:before="60"/>
        <w:rPr>
          <w:rFonts w:cs="Arial"/>
          <w:szCs w:val="21"/>
        </w:rPr>
      </w:pPr>
      <w:r w:rsidRPr="00A06CBD">
        <w:rPr>
          <w:rFonts w:cs="Arial"/>
          <w:szCs w:val="21"/>
        </w:rPr>
        <w:t>Capture lessons learned in Continuous Improvement Reports (D-QA-06), which are shared with the PMO and vendors to drive measurable enhancements across releases.</w:t>
      </w:r>
    </w:p>
    <w:p w14:paraId="2BEBDA71" w14:textId="77777777" w:rsidR="00AA4A1C" w:rsidRDefault="00AA4A1C" w:rsidP="000764CC">
      <w:pPr>
        <w:spacing w:before="120" w:after="120"/>
        <w:rPr>
          <w:rFonts w:cs="Arial"/>
          <w:b/>
          <w:bCs/>
          <w:color w:val="0070C0"/>
          <w:szCs w:val="21"/>
        </w:rPr>
      </w:pPr>
    </w:p>
    <w:p w14:paraId="34CAA8F4" w14:textId="77777777" w:rsidR="000764CC" w:rsidRPr="00AA4A1C" w:rsidRDefault="000764CC" w:rsidP="000764CC">
      <w:pPr>
        <w:spacing w:before="120" w:after="120"/>
        <w:rPr>
          <w:rFonts w:cs="Arial"/>
          <w:color w:val="0070C0"/>
          <w:sz w:val="28"/>
          <w:szCs w:val="28"/>
        </w:rPr>
      </w:pPr>
      <w:r w:rsidRPr="00AA4A1C">
        <w:rPr>
          <w:rFonts w:cs="Arial"/>
          <w:color w:val="0070C0"/>
          <w:sz w:val="28"/>
          <w:szCs w:val="28"/>
        </w:rPr>
        <w:t>Integration with CalSAWS Governance</w:t>
      </w:r>
    </w:p>
    <w:p w14:paraId="5DC064FE" w14:textId="77777777" w:rsidR="000764CC" w:rsidRPr="000764CC" w:rsidRDefault="000764CC" w:rsidP="00A06CBD">
      <w:pPr>
        <w:spacing w:before="60"/>
        <w:rPr>
          <w:rFonts w:cs="Arial"/>
          <w:szCs w:val="21"/>
        </w:rPr>
      </w:pPr>
      <w:r w:rsidRPr="000764CC">
        <w:rPr>
          <w:rFonts w:cs="Arial"/>
          <w:szCs w:val="21"/>
        </w:rPr>
        <w:t xml:space="preserve">Rather than functioning as a standalone IBM process, the QMS is </w:t>
      </w:r>
      <w:r w:rsidRPr="000764CC">
        <w:rPr>
          <w:rFonts w:cs="Arial"/>
          <w:b/>
          <w:bCs/>
          <w:szCs w:val="21"/>
        </w:rPr>
        <w:t>woven into the Consortium’s oversight model</w:t>
      </w:r>
      <w:r w:rsidRPr="000764CC">
        <w:rPr>
          <w:rFonts w:cs="Arial"/>
          <w:szCs w:val="21"/>
        </w:rPr>
        <w:t>:</w:t>
      </w:r>
    </w:p>
    <w:p w14:paraId="38EF41A3" w14:textId="77777777" w:rsidR="000764CC" w:rsidRPr="00A06CBD" w:rsidRDefault="000764CC" w:rsidP="00A06CBD">
      <w:pPr>
        <w:pStyle w:val="ListParagraph"/>
        <w:numPr>
          <w:ilvl w:val="0"/>
          <w:numId w:val="71"/>
        </w:numPr>
        <w:spacing w:before="60"/>
        <w:rPr>
          <w:rFonts w:cs="Arial"/>
          <w:szCs w:val="21"/>
        </w:rPr>
      </w:pPr>
      <w:r w:rsidRPr="00A06CBD">
        <w:rPr>
          <w:rFonts w:cs="Arial"/>
          <w:szCs w:val="21"/>
        </w:rPr>
        <w:t>Quality checkpoints are synchronized with PMO-led governance boards and release readiness reviews.</w:t>
      </w:r>
    </w:p>
    <w:p w14:paraId="4DB5CA21" w14:textId="77777777" w:rsidR="000764CC" w:rsidRPr="00A06CBD" w:rsidRDefault="000764CC" w:rsidP="00A06CBD">
      <w:pPr>
        <w:pStyle w:val="ListParagraph"/>
        <w:numPr>
          <w:ilvl w:val="0"/>
          <w:numId w:val="71"/>
        </w:numPr>
        <w:spacing w:before="60"/>
        <w:rPr>
          <w:rFonts w:cs="Arial"/>
          <w:szCs w:val="21"/>
        </w:rPr>
      </w:pPr>
      <w:r w:rsidRPr="00A06CBD">
        <w:rPr>
          <w:rFonts w:cs="Arial"/>
          <w:szCs w:val="21"/>
        </w:rPr>
        <w:t>Reporting and dashboards flow through Consortium-approved channels, providing shared visibility.</w:t>
      </w:r>
    </w:p>
    <w:p w14:paraId="52182B81" w14:textId="77777777" w:rsidR="000764CC" w:rsidRPr="00A06CBD" w:rsidRDefault="000764CC" w:rsidP="00A06CBD">
      <w:pPr>
        <w:pStyle w:val="ListParagraph"/>
        <w:numPr>
          <w:ilvl w:val="0"/>
          <w:numId w:val="71"/>
        </w:numPr>
        <w:spacing w:before="60"/>
        <w:rPr>
          <w:rFonts w:cs="Arial"/>
          <w:szCs w:val="21"/>
        </w:rPr>
      </w:pPr>
      <w:r w:rsidRPr="00A06CBD">
        <w:rPr>
          <w:rFonts w:cs="Arial"/>
          <w:szCs w:val="21"/>
        </w:rPr>
        <w:t>Findings and recommendations are collaboratively validated with affected contractors to ensure accountability and action.</w:t>
      </w:r>
    </w:p>
    <w:p w14:paraId="22F90CB1" w14:textId="72BED72E" w:rsidR="00AA4A1C" w:rsidRPr="00206A0F" w:rsidRDefault="000764CC" w:rsidP="000764CC">
      <w:pPr>
        <w:spacing w:before="120" w:after="120"/>
        <w:rPr>
          <w:rFonts w:cs="Arial"/>
          <w:color w:val="0D0D0D" w:themeColor="text1" w:themeTint="F2"/>
          <w:szCs w:val="21"/>
        </w:rPr>
      </w:pPr>
      <w:r w:rsidRPr="000764CC">
        <w:rPr>
          <w:rFonts w:cs="Arial"/>
          <w:color w:val="0D0D0D" w:themeColor="text1" w:themeTint="F2"/>
          <w:szCs w:val="21"/>
        </w:rPr>
        <w:t xml:space="preserve">This approach ensures QA oversight is </w:t>
      </w:r>
      <w:r w:rsidRPr="000764CC">
        <w:rPr>
          <w:rFonts w:cs="Arial"/>
          <w:b/>
          <w:bCs/>
          <w:color w:val="0D0D0D" w:themeColor="text1" w:themeTint="F2"/>
          <w:szCs w:val="21"/>
        </w:rPr>
        <w:t>independent in evaluation but collaborative in execution</w:t>
      </w:r>
      <w:r w:rsidRPr="000764CC">
        <w:rPr>
          <w:rFonts w:cs="Arial"/>
          <w:color w:val="0D0D0D" w:themeColor="text1" w:themeTint="F2"/>
          <w:szCs w:val="21"/>
        </w:rPr>
        <w:t>, a balance critical for success in a multi-vendor ecosystem.</w:t>
      </w:r>
    </w:p>
    <w:p w14:paraId="25D1A79B" w14:textId="77777777" w:rsidR="00A06CBD" w:rsidRDefault="00A06CBD" w:rsidP="000764CC">
      <w:pPr>
        <w:spacing w:before="120" w:after="120"/>
        <w:rPr>
          <w:rFonts w:cs="Arial"/>
          <w:color w:val="0070C0"/>
          <w:sz w:val="28"/>
          <w:szCs w:val="28"/>
        </w:rPr>
      </w:pPr>
    </w:p>
    <w:p w14:paraId="1F4B39B8" w14:textId="77777777" w:rsidR="000764CC" w:rsidRPr="00AA4A1C" w:rsidRDefault="000764CC" w:rsidP="000764CC">
      <w:pPr>
        <w:spacing w:before="120" w:after="120"/>
        <w:rPr>
          <w:rFonts w:cs="Arial"/>
          <w:color w:val="0070C0"/>
          <w:sz w:val="28"/>
          <w:szCs w:val="28"/>
        </w:rPr>
      </w:pPr>
      <w:r w:rsidRPr="00AA4A1C">
        <w:rPr>
          <w:rFonts w:cs="Arial"/>
          <w:color w:val="0070C0"/>
          <w:sz w:val="28"/>
          <w:szCs w:val="28"/>
        </w:rPr>
        <w:t>Benefits to the Consortium</w:t>
      </w:r>
    </w:p>
    <w:p w14:paraId="23F20A75"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The embedded QMS ensures that CalSAWS QA is:</w:t>
      </w:r>
    </w:p>
    <w:p w14:paraId="1787F057" w14:textId="77777777" w:rsidR="000764CC" w:rsidRPr="00A06CBD" w:rsidRDefault="000764CC" w:rsidP="00A06CBD">
      <w:pPr>
        <w:pStyle w:val="ListParagraph"/>
        <w:numPr>
          <w:ilvl w:val="0"/>
          <w:numId w:val="72"/>
        </w:numPr>
        <w:spacing w:before="60"/>
        <w:rPr>
          <w:rFonts w:cs="Arial"/>
          <w:szCs w:val="21"/>
        </w:rPr>
      </w:pPr>
      <w:r w:rsidRPr="00A06CBD">
        <w:rPr>
          <w:rFonts w:cs="Arial"/>
          <w:b/>
          <w:bCs/>
          <w:szCs w:val="21"/>
        </w:rPr>
        <w:t>Consistent:</w:t>
      </w:r>
      <w:r w:rsidRPr="00A06CBD">
        <w:rPr>
          <w:rFonts w:cs="Arial"/>
          <w:szCs w:val="21"/>
        </w:rPr>
        <w:t xml:space="preserve"> Every process and deliverable follows the same standards and approval pathways.</w:t>
      </w:r>
    </w:p>
    <w:p w14:paraId="551BF82B" w14:textId="77777777" w:rsidR="000764CC" w:rsidRPr="00A06CBD" w:rsidRDefault="000764CC" w:rsidP="00A06CBD">
      <w:pPr>
        <w:pStyle w:val="ListParagraph"/>
        <w:numPr>
          <w:ilvl w:val="0"/>
          <w:numId w:val="72"/>
        </w:numPr>
        <w:spacing w:before="60"/>
        <w:rPr>
          <w:rFonts w:cs="Arial"/>
          <w:szCs w:val="21"/>
        </w:rPr>
      </w:pPr>
      <w:r w:rsidRPr="00A06CBD">
        <w:rPr>
          <w:rFonts w:cs="Arial"/>
          <w:b/>
          <w:bCs/>
          <w:szCs w:val="21"/>
        </w:rPr>
        <w:t>Transparent:</w:t>
      </w:r>
      <w:r w:rsidRPr="00A06CBD">
        <w:rPr>
          <w:rFonts w:cs="Arial"/>
          <w:szCs w:val="21"/>
        </w:rPr>
        <w:t xml:space="preserve"> Metrics and results are visible to all governance stakeholders.</w:t>
      </w:r>
    </w:p>
    <w:p w14:paraId="2D0C7D29" w14:textId="77777777" w:rsidR="000764CC" w:rsidRPr="00A06CBD" w:rsidRDefault="000764CC" w:rsidP="00A06CBD">
      <w:pPr>
        <w:pStyle w:val="ListParagraph"/>
        <w:numPr>
          <w:ilvl w:val="0"/>
          <w:numId w:val="72"/>
        </w:numPr>
        <w:spacing w:before="60"/>
        <w:rPr>
          <w:rFonts w:cs="Arial"/>
          <w:szCs w:val="21"/>
        </w:rPr>
      </w:pPr>
      <w:r w:rsidRPr="00A06CBD">
        <w:rPr>
          <w:rFonts w:cs="Arial"/>
          <w:b/>
          <w:bCs/>
          <w:szCs w:val="21"/>
        </w:rPr>
        <w:t>Predictable:</w:t>
      </w:r>
      <w:r w:rsidRPr="00A06CBD">
        <w:rPr>
          <w:rFonts w:cs="Arial"/>
          <w:szCs w:val="21"/>
        </w:rPr>
        <w:t xml:space="preserve"> QA activities align with the Consortium’s release cadence and program management structure.</w:t>
      </w:r>
    </w:p>
    <w:p w14:paraId="532A6B2E" w14:textId="77777777" w:rsidR="000764CC" w:rsidRPr="00A06CBD" w:rsidRDefault="000764CC" w:rsidP="00A06CBD">
      <w:pPr>
        <w:pStyle w:val="ListParagraph"/>
        <w:numPr>
          <w:ilvl w:val="0"/>
          <w:numId w:val="72"/>
        </w:numPr>
        <w:spacing w:before="60"/>
        <w:rPr>
          <w:rFonts w:cs="Arial"/>
          <w:szCs w:val="21"/>
        </w:rPr>
      </w:pPr>
      <w:r w:rsidRPr="00A06CBD">
        <w:rPr>
          <w:rFonts w:cs="Arial"/>
          <w:b/>
          <w:bCs/>
          <w:szCs w:val="21"/>
        </w:rPr>
        <w:t>Adaptive:</w:t>
      </w:r>
      <w:r w:rsidRPr="00A06CBD">
        <w:rPr>
          <w:rFonts w:cs="Arial"/>
          <w:szCs w:val="21"/>
        </w:rPr>
        <w:t xml:space="preserve"> Lessons learned translate directly into improved performance across future releases.</w:t>
      </w:r>
    </w:p>
    <w:p w14:paraId="1D5EA306" w14:textId="77777777" w:rsid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 xml:space="preserve">Through this integrated QMS, IBM provides the Consortium with a </w:t>
      </w:r>
      <w:r w:rsidRPr="000764CC">
        <w:rPr>
          <w:rFonts w:cs="Arial"/>
          <w:b/>
          <w:bCs/>
          <w:color w:val="0D0D0D" w:themeColor="text1" w:themeTint="F2"/>
          <w:szCs w:val="21"/>
        </w:rPr>
        <w:t>disciplined foundation for continuous quality</w:t>
      </w:r>
      <w:r w:rsidRPr="000764CC">
        <w:rPr>
          <w:rFonts w:cs="Arial"/>
          <w:color w:val="0D0D0D" w:themeColor="text1" w:themeTint="F2"/>
          <w:szCs w:val="21"/>
        </w:rPr>
        <w:t>, supporting confident, data-driven decision-making across the entire CalSAWS environment.</w:t>
      </w:r>
    </w:p>
    <w:p w14:paraId="478001F3" w14:textId="77777777" w:rsidR="00A06CBD" w:rsidRPr="00A06CBD" w:rsidRDefault="00A06CBD" w:rsidP="00A06CBD">
      <w:pPr>
        <w:pStyle w:val="Caption"/>
      </w:pPr>
    </w:p>
    <w:p w14:paraId="52A0D274" w14:textId="7F1EF32B" w:rsidR="000764CC" w:rsidRPr="000764CC" w:rsidRDefault="000764CC" w:rsidP="000764CC">
      <w:pPr>
        <w:spacing w:before="120" w:after="120"/>
        <w:ind w:left="360" w:hanging="360"/>
        <w:rPr>
          <w:rFonts w:cstheme="minorHAnsi"/>
          <w:b/>
          <w:bCs/>
          <w:color w:val="auto"/>
          <w:szCs w:val="21"/>
        </w:rPr>
      </w:pPr>
      <w:r w:rsidRPr="000764CC">
        <w:rPr>
          <w:rFonts w:cs="Arial"/>
          <w:b/>
          <w:bCs/>
          <w:color w:val="0D0D0D" w:themeColor="text1" w:themeTint="F2"/>
          <w:szCs w:val="21"/>
        </w:rPr>
        <w:t>5</w:t>
      </w:r>
      <w:r w:rsidRPr="000764CC">
        <w:rPr>
          <w:rFonts w:cs="Arial"/>
          <w:b/>
          <w:bCs/>
          <w:color w:val="0D0D0D" w:themeColor="text1" w:themeTint="F2"/>
          <w:szCs w:val="21"/>
        </w:rPr>
        <w:tab/>
        <w:t>Reporting Discipline — IBM’s 7 Keys Framework</w:t>
      </w:r>
    </w:p>
    <w:p w14:paraId="7EB68B99" w14:textId="77777777" w:rsidR="000764CC" w:rsidRPr="000764CC" w:rsidRDefault="000764CC" w:rsidP="00A06CBD">
      <w:pPr>
        <w:spacing w:before="120" w:after="120"/>
        <w:rPr>
          <w:rFonts w:cs="Arial"/>
          <w:color w:val="0D0D0D" w:themeColor="text1" w:themeTint="F2"/>
          <w:szCs w:val="21"/>
        </w:rPr>
      </w:pPr>
      <w:r w:rsidRPr="000764CC">
        <w:rPr>
          <w:rFonts w:cs="Arial"/>
          <w:color w:val="0D0D0D" w:themeColor="text1" w:themeTint="F2"/>
          <w:szCs w:val="21"/>
        </w:rPr>
        <w:t xml:space="preserve">The CalSAWS Consortium has emphasized the need for proactive, transparent reporting that identifies issues early and enables informed decisions before risks escalate. IBM meets this need through its </w:t>
      </w:r>
      <w:r w:rsidRPr="000764CC">
        <w:rPr>
          <w:rFonts w:cs="Arial"/>
          <w:b/>
          <w:bCs/>
          <w:color w:val="0D0D0D" w:themeColor="text1" w:themeTint="F2"/>
          <w:szCs w:val="21"/>
        </w:rPr>
        <w:t>7 Keys to Project Success Framework</w:t>
      </w:r>
      <w:r w:rsidRPr="000764CC">
        <w:rPr>
          <w:rFonts w:cs="Arial"/>
          <w:color w:val="0D0D0D" w:themeColor="text1" w:themeTint="F2"/>
          <w:szCs w:val="21"/>
        </w:rPr>
        <w:t>, a proven model used across global HHS programs and adapted here to align with CalSAWS’ governance rhythm and multi-contractor environment.</w:t>
      </w:r>
    </w:p>
    <w:p w14:paraId="2CC08378" w14:textId="621407C9" w:rsidR="00A1545B" w:rsidRDefault="00A1545B" w:rsidP="00A1545B">
      <w:pPr>
        <w:pStyle w:val="Caption"/>
        <w:keepNext/>
        <w:jc w:val="center"/>
      </w:pPr>
      <w:bookmarkStart w:id="29" w:name="_Toc213069367"/>
      <w:r>
        <w:lastRenderedPageBreak/>
        <w:t xml:space="preserve">Table 4.2.1. </w:t>
      </w:r>
      <w:r>
        <w:fldChar w:fldCharType="begin"/>
      </w:r>
      <w:r>
        <w:instrText xml:space="preserve"> SEQ Table_4.2.1. \* ARABIC </w:instrText>
      </w:r>
      <w:r>
        <w:fldChar w:fldCharType="separate"/>
      </w:r>
      <w:r>
        <w:rPr>
          <w:noProof/>
        </w:rPr>
        <w:t>3</w:t>
      </w:r>
      <w:r>
        <w:fldChar w:fldCharType="end"/>
      </w:r>
      <w:r>
        <w:t xml:space="preserve"> The framework assesses seven key dimensions of project and quality health</w:t>
      </w:r>
      <w:bookmarkEnd w:id="29"/>
    </w:p>
    <w:tbl>
      <w:tblPr>
        <w:tblStyle w:val="TableGrid"/>
        <w:tblW w:w="9345" w:type="dxa"/>
        <w:tblInd w:w="36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9"/>
        <w:gridCol w:w="6796"/>
      </w:tblGrid>
      <w:tr w:rsidR="00D30492" w:rsidRPr="000764CC" w14:paraId="2785302F" w14:textId="77777777" w:rsidTr="00206A0F">
        <w:trPr>
          <w:cnfStyle w:val="100000000000" w:firstRow="1" w:lastRow="0" w:firstColumn="0" w:lastColumn="0" w:oddVBand="0" w:evenVBand="0" w:oddHBand="0" w:evenHBand="0" w:firstRowFirstColumn="0" w:firstRowLastColumn="0" w:lastRowFirstColumn="0" w:lastRowLastColumn="0"/>
        </w:trPr>
        <w:tc>
          <w:tcPr>
            <w:tcW w:w="0" w:type="auto"/>
            <w:shd w:val="clear" w:color="auto" w:fill="0070C0"/>
            <w:vAlign w:val="center"/>
            <w:hideMark/>
          </w:tcPr>
          <w:p w14:paraId="3FF413D3" w14:textId="77777777" w:rsidR="000764CC" w:rsidRPr="000764CC" w:rsidRDefault="000764CC" w:rsidP="00725431">
            <w:pPr>
              <w:spacing w:before="60"/>
              <w:rPr>
                <w:rFonts w:cs="Arial"/>
                <w:b/>
                <w:color w:val="FFFFFF" w:themeColor="background1"/>
                <w:szCs w:val="18"/>
              </w:rPr>
            </w:pPr>
            <w:r w:rsidRPr="000764CC">
              <w:rPr>
                <w:rFonts w:cs="Arial"/>
                <w:b/>
                <w:color w:val="FFFFFF" w:themeColor="background1"/>
                <w:szCs w:val="18"/>
              </w:rPr>
              <w:t>Key</w:t>
            </w:r>
          </w:p>
        </w:tc>
        <w:tc>
          <w:tcPr>
            <w:tcW w:w="0" w:type="auto"/>
            <w:shd w:val="clear" w:color="auto" w:fill="0070C0"/>
            <w:vAlign w:val="center"/>
            <w:hideMark/>
          </w:tcPr>
          <w:p w14:paraId="11A95095" w14:textId="4A0C415C" w:rsidR="000764CC" w:rsidRPr="000764CC" w:rsidRDefault="000764CC" w:rsidP="00725431">
            <w:pPr>
              <w:spacing w:before="60"/>
              <w:rPr>
                <w:rFonts w:cs="Arial"/>
                <w:b/>
                <w:color w:val="FFFFFF" w:themeColor="background1"/>
                <w:szCs w:val="18"/>
              </w:rPr>
            </w:pPr>
            <w:r w:rsidRPr="000764CC">
              <w:rPr>
                <w:rFonts w:cs="Arial"/>
                <w:b/>
                <w:color w:val="FFFFFF" w:themeColor="background1"/>
                <w:szCs w:val="18"/>
              </w:rPr>
              <w:t>Purpose for CalSAWS</w:t>
            </w:r>
          </w:p>
        </w:tc>
      </w:tr>
      <w:tr w:rsidR="00D30492" w:rsidRPr="000764CC" w14:paraId="08BF8C23" w14:textId="77777777" w:rsidTr="00206A0F">
        <w:tc>
          <w:tcPr>
            <w:tcW w:w="0" w:type="auto"/>
            <w:shd w:val="clear" w:color="auto" w:fill="FFFFFF" w:themeFill="background1"/>
            <w:vAlign w:val="center"/>
            <w:hideMark/>
          </w:tcPr>
          <w:p w14:paraId="3B963C90" w14:textId="77777777" w:rsidR="000764CC" w:rsidRPr="000764CC" w:rsidRDefault="000764CC" w:rsidP="000764CC">
            <w:pPr>
              <w:spacing w:before="60"/>
              <w:rPr>
                <w:rFonts w:cs="Arial"/>
                <w:b/>
                <w:bCs/>
                <w:szCs w:val="21"/>
              </w:rPr>
            </w:pPr>
            <w:r w:rsidRPr="000764CC">
              <w:rPr>
                <w:rFonts w:cs="Arial"/>
                <w:b/>
                <w:bCs/>
                <w:szCs w:val="21"/>
              </w:rPr>
              <w:t>1. Work and Schedule Predictability</w:t>
            </w:r>
          </w:p>
        </w:tc>
        <w:tc>
          <w:tcPr>
            <w:tcW w:w="0" w:type="auto"/>
            <w:shd w:val="clear" w:color="auto" w:fill="FFFFFF" w:themeFill="background1"/>
            <w:vAlign w:val="center"/>
            <w:hideMark/>
          </w:tcPr>
          <w:p w14:paraId="0D9E30B7" w14:textId="77777777" w:rsidR="000764CC" w:rsidRPr="000764CC" w:rsidRDefault="000764CC" w:rsidP="000764CC">
            <w:pPr>
              <w:spacing w:before="60"/>
              <w:rPr>
                <w:rFonts w:cs="Arial"/>
                <w:szCs w:val="21"/>
              </w:rPr>
            </w:pPr>
            <w:r w:rsidRPr="000764CC">
              <w:rPr>
                <w:rFonts w:cs="Arial"/>
                <w:szCs w:val="21"/>
              </w:rPr>
              <w:t>Measures progress against the QA Schedule (D-QA-02) to ensure test activities align with PMO milestones and vendor delivery timelines.</w:t>
            </w:r>
          </w:p>
        </w:tc>
      </w:tr>
      <w:tr w:rsidR="00D30492" w:rsidRPr="000764CC" w14:paraId="251D790C" w14:textId="77777777" w:rsidTr="00206A0F">
        <w:tc>
          <w:tcPr>
            <w:tcW w:w="0" w:type="auto"/>
            <w:shd w:val="clear" w:color="auto" w:fill="FFFFFF" w:themeFill="background1"/>
            <w:vAlign w:val="center"/>
            <w:hideMark/>
          </w:tcPr>
          <w:p w14:paraId="376FE246" w14:textId="77777777" w:rsidR="000764CC" w:rsidRPr="000764CC" w:rsidRDefault="000764CC" w:rsidP="000764CC">
            <w:pPr>
              <w:spacing w:before="60"/>
              <w:rPr>
                <w:rFonts w:cs="Arial"/>
                <w:b/>
                <w:bCs/>
                <w:szCs w:val="21"/>
              </w:rPr>
            </w:pPr>
            <w:r w:rsidRPr="000764CC">
              <w:rPr>
                <w:rFonts w:cs="Arial"/>
                <w:b/>
                <w:bCs/>
                <w:szCs w:val="21"/>
              </w:rPr>
              <w:t>2. Realistic and Managed Scope</w:t>
            </w:r>
          </w:p>
        </w:tc>
        <w:tc>
          <w:tcPr>
            <w:tcW w:w="0" w:type="auto"/>
            <w:shd w:val="clear" w:color="auto" w:fill="FFFFFF" w:themeFill="background1"/>
            <w:vAlign w:val="center"/>
            <w:hideMark/>
          </w:tcPr>
          <w:p w14:paraId="5A485CD0" w14:textId="77777777" w:rsidR="000764CC" w:rsidRPr="000764CC" w:rsidRDefault="000764CC" w:rsidP="000764CC">
            <w:pPr>
              <w:spacing w:before="60"/>
              <w:rPr>
                <w:rFonts w:cs="Arial"/>
                <w:szCs w:val="21"/>
              </w:rPr>
            </w:pPr>
            <w:r w:rsidRPr="000764CC">
              <w:rPr>
                <w:rFonts w:cs="Arial"/>
                <w:szCs w:val="21"/>
              </w:rPr>
              <w:t>Confirms that QA deliverables and release readiness reviews reflect defined boundaries and approved DED/DEL criteria.</w:t>
            </w:r>
          </w:p>
        </w:tc>
      </w:tr>
      <w:tr w:rsidR="00D30492" w:rsidRPr="000764CC" w14:paraId="2CA5DF5F" w14:textId="77777777" w:rsidTr="00206A0F">
        <w:tc>
          <w:tcPr>
            <w:tcW w:w="0" w:type="auto"/>
            <w:shd w:val="clear" w:color="auto" w:fill="FFFFFF" w:themeFill="background1"/>
            <w:vAlign w:val="center"/>
            <w:hideMark/>
          </w:tcPr>
          <w:p w14:paraId="76B980E5" w14:textId="77777777" w:rsidR="000764CC" w:rsidRPr="000764CC" w:rsidRDefault="000764CC" w:rsidP="000764CC">
            <w:pPr>
              <w:spacing w:before="60"/>
              <w:rPr>
                <w:rFonts w:cs="Arial"/>
                <w:b/>
                <w:bCs/>
                <w:szCs w:val="21"/>
              </w:rPr>
            </w:pPr>
            <w:r w:rsidRPr="000764CC">
              <w:rPr>
                <w:rFonts w:cs="Arial"/>
                <w:b/>
                <w:bCs/>
                <w:szCs w:val="21"/>
              </w:rPr>
              <w:t>3. Committed Stakeholders</w:t>
            </w:r>
          </w:p>
        </w:tc>
        <w:tc>
          <w:tcPr>
            <w:tcW w:w="0" w:type="auto"/>
            <w:shd w:val="clear" w:color="auto" w:fill="FFFFFF" w:themeFill="background1"/>
            <w:vAlign w:val="center"/>
            <w:hideMark/>
          </w:tcPr>
          <w:p w14:paraId="4592D298" w14:textId="77777777" w:rsidR="000764CC" w:rsidRPr="000764CC" w:rsidRDefault="000764CC" w:rsidP="000764CC">
            <w:pPr>
              <w:spacing w:before="60"/>
              <w:rPr>
                <w:rFonts w:cs="Arial"/>
                <w:szCs w:val="21"/>
              </w:rPr>
            </w:pPr>
            <w:r w:rsidRPr="000764CC">
              <w:rPr>
                <w:rFonts w:cs="Arial"/>
                <w:szCs w:val="21"/>
              </w:rPr>
              <w:t>Tracks engagement from the Consortium, PMO, and vendor teams to ensure decisions are made promptly and dependencies are addressed.</w:t>
            </w:r>
          </w:p>
        </w:tc>
      </w:tr>
      <w:tr w:rsidR="00D30492" w:rsidRPr="000764CC" w14:paraId="43EAAB56" w14:textId="77777777" w:rsidTr="00206A0F">
        <w:tc>
          <w:tcPr>
            <w:tcW w:w="0" w:type="auto"/>
            <w:shd w:val="clear" w:color="auto" w:fill="FFFFFF" w:themeFill="background1"/>
            <w:vAlign w:val="center"/>
            <w:hideMark/>
          </w:tcPr>
          <w:p w14:paraId="7277044B" w14:textId="77777777" w:rsidR="000764CC" w:rsidRPr="000764CC" w:rsidRDefault="000764CC" w:rsidP="000764CC">
            <w:pPr>
              <w:spacing w:before="60"/>
              <w:rPr>
                <w:rFonts w:cs="Arial"/>
                <w:b/>
                <w:bCs/>
                <w:szCs w:val="21"/>
              </w:rPr>
            </w:pPr>
            <w:r w:rsidRPr="000764CC">
              <w:rPr>
                <w:rFonts w:cs="Arial"/>
                <w:b/>
                <w:bCs/>
                <w:szCs w:val="21"/>
              </w:rPr>
              <w:t>4. High-Performing Team</w:t>
            </w:r>
          </w:p>
        </w:tc>
        <w:tc>
          <w:tcPr>
            <w:tcW w:w="0" w:type="auto"/>
            <w:shd w:val="clear" w:color="auto" w:fill="FFFFFF" w:themeFill="background1"/>
            <w:vAlign w:val="center"/>
            <w:hideMark/>
          </w:tcPr>
          <w:p w14:paraId="5AECA7B5" w14:textId="77777777" w:rsidR="000764CC" w:rsidRPr="000764CC" w:rsidRDefault="000764CC" w:rsidP="000764CC">
            <w:pPr>
              <w:spacing w:before="60"/>
              <w:rPr>
                <w:rFonts w:cs="Arial"/>
                <w:szCs w:val="21"/>
              </w:rPr>
            </w:pPr>
            <w:r w:rsidRPr="000764CC">
              <w:rPr>
                <w:rFonts w:cs="Arial"/>
                <w:szCs w:val="21"/>
              </w:rPr>
              <w:t>Evaluates team collaboration, role clarity, and cross-vendor responsiveness through coordination metrics and satisfaction surveys.</w:t>
            </w:r>
          </w:p>
        </w:tc>
      </w:tr>
      <w:tr w:rsidR="00D30492" w:rsidRPr="000764CC" w14:paraId="6C7564D1" w14:textId="77777777" w:rsidTr="00206A0F">
        <w:tc>
          <w:tcPr>
            <w:tcW w:w="0" w:type="auto"/>
            <w:shd w:val="clear" w:color="auto" w:fill="FFFFFF" w:themeFill="background1"/>
            <w:vAlign w:val="center"/>
            <w:hideMark/>
          </w:tcPr>
          <w:p w14:paraId="1CBBE141" w14:textId="77777777" w:rsidR="000764CC" w:rsidRPr="000764CC" w:rsidRDefault="000764CC" w:rsidP="000764CC">
            <w:pPr>
              <w:spacing w:before="60"/>
              <w:rPr>
                <w:rFonts w:cs="Arial"/>
                <w:b/>
                <w:bCs/>
                <w:szCs w:val="21"/>
              </w:rPr>
            </w:pPr>
            <w:r w:rsidRPr="000764CC">
              <w:rPr>
                <w:rFonts w:cs="Arial"/>
                <w:b/>
                <w:bCs/>
                <w:szCs w:val="21"/>
              </w:rPr>
              <w:t>5. Risks Mitigated</w:t>
            </w:r>
          </w:p>
        </w:tc>
        <w:tc>
          <w:tcPr>
            <w:tcW w:w="0" w:type="auto"/>
            <w:shd w:val="clear" w:color="auto" w:fill="FFFFFF" w:themeFill="background1"/>
            <w:vAlign w:val="center"/>
            <w:hideMark/>
          </w:tcPr>
          <w:p w14:paraId="6EBD3A60" w14:textId="77777777" w:rsidR="000764CC" w:rsidRPr="000764CC" w:rsidRDefault="000764CC" w:rsidP="000764CC">
            <w:pPr>
              <w:spacing w:before="60"/>
              <w:rPr>
                <w:rFonts w:cs="Arial"/>
                <w:szCs w:val="21"/>
              </w:rPr>
            </w:pPr>
            <w:r w:rsidRPr="000764CC">
              <w:rPr>
                <w:rFonts w:cs="Arial"/>
                <w:szCs w:val="21"/>
              </w:rPr>
              <w:t>Flags emerging risks early through integrated QA dashboards, promoting preventive action before impact.</w:t>
            </w:r>
          </w:p>
        </w:tc>
      </w:tr>
      <w:tr w:rsidR="00D30492" w:rsidRPr="000764CC" w14:paraId="384BDCB8" w14:textId="77777777" w:rsidTr="00206A0F">
        <w:tc>
          <w:tcPr>
            <w:tcW w:w="0" w:type="auto"/>
            <w:shd w:val="clear" w:color="auto" w:fill="FFFFFF" w:themeFill="background1"/>
            <w:vAlign w:val="center"/>
            <w:hideMark/>
          </w:tcPr>
          <w:p w14:paraId="6EA98E26" w14:textId="77777777" w:rsidR="000764CC" w:rsidRPr="000764CC" w:rsidRDefault="000764CC" w:rsidP="000764CC">
            <w:pPr>
              <w:spacing w:before="60"/>
              <w:rPr>
                <w:rFonts w:cs="Arial"/>
                <w:b/>
                <w:bCs/>
                <w:szCs w:val="21"/>
              </w:rPr>
            </w:pPr>
            <w:r w:rsidRPr="000764CC">
              <w:rPr>
                <w:rFonts w:cs="Arial"/>
                <w:b/>
                <w:bCs/>
                <w:szCs w:val="21"/>
              </w:rPr>
              <w:t>6. Delivery Organization Benefits Realized</w:t>
            </w:r>
          </w:p>
        </w:tc>
        <w:tc>
          <w:tcPr>
            <w:tcW w:w="0" w:type="auto"/>
            <w:shd w:val="clear" w:color="auto" w:fill="FFFFFF" w:themeFill="background1"/>
            <w:vAlign w:val="center"/>
            <w:hideMark/>
          </w:tcPr>
          <w:p w14:paraId="79BF3B1E" w14:textId="77777777" w:rsidR="000764CC" w:rsidRPr="000764CC" w:rsidRDefault="000764CC" w:rsidP="000764CC">
            <w:pPr>
              <w:spacing w:before="60"/>
              <w:rPr>
                <w:rFonts w:cs="Arial"/>
                <w:szCs w:val="21"/>
              </w:rPr>
            </w:pPr>
            <w:r w:rsidRPr="000764CC">
              <w:rPr>
                <w:rFonts w:cs="Arial"/>
                <w:szCs w:val="21"/>
              </w:rPr>
              <w:t>Monitors whether QA findings translate into improved delivery efficiency, reduced defect leakage, and stronger governance outcomes.</w:t>
            </w:r>
          </w:p>
        </w:tc>
      </w:tr>
      <w:tr w:rsidR="00D30492" w:rsidRPr="000764CC" w14:paraId="2A38ECF5" w14:textId="77777777" w:rsidTr="00206A0F">
        <w:tc>
          <w:tcPr>
            <w:tcW w:w="0" w:type="auto"/>
            <w:shd w:val="clear" w:color="auto" w:fill="FFFFFF" w:themeFill="background1"/>
            <w:vAlign w:val="center"/>
            <w:hideMark/>
          </w:tcPr>
          <w:p w14:paraId="515F4B32" w14:textId="77777777" w:rsidR="000764CC" w:rsidRPr="000764CC" w:rsidRDefault="000764CC" w:rsidP="000764CC">
            <w:pPr>
              <w:spacing w:before="60"/>
              <w:rPr>
                <w:rFonts w:cs="Arial"/>
                <w:b/>
                <w:bCs/>
                <w:szCs w:val="21"/>
              </w:rPr>
            </w:pPr>
            <w:r w:rsidRPr="000764CC">
              <w:rPr>
                <w:rFonts w:cs="Arial"/>
                <w:b/>
                <w:bCs/>
                <w:szCs w:val="21"/>
              </w:rPr>
              <w:t>7. Business Benefits Realized</w:t>
            </w:r>
          </w:p>
        </w:tc>
        <w:tc>
          <w:tcPr>
            <w:tcW w:w="0" w:type="auto"/>
            <w:shd w:val="clear" w:color="auto" w:fill="FFFFFF" w:themeFill="background1"/>
            <w:vAlign w:val="center"/>
            <w:hideMark/>
          </w:tcPr>
          <w:p w14:paraId="4FD49A86" w14:textId="77777777" w:rsidR="000764CC" w:rsidRPr="000764CC" w:rsidRDefault="000764CC" w:rsidP="000764CC">
            <w:pPr>
              <w:spacing w:before="60"/>
              <w:rPr>
                <w:rFonts w:cs="Arial"/>
                <w:szCs w:val="21"/>
              </w:rPr>
            </w:pPr>
            <w:r w:rsidRPr="000764CC">
              <w:rPr>
                <w:rFonts w:cs="Arial"/>
                <w:szCs w:val="21"/>
              </w:rPr>
              <w:t>Aligns quality outcomes with CalSAWS’ mission — timely, accurate, and equitable delivery of benefits to Californians.</w:t>
            </w:r>
          </w:p>
        </w:tc>
      </w:tr>
    </w:tbl>
    <w:p w14:paraId="64E74A85" w14:textId="77777777" w:rsidR="000764CC" w:rsidRPr="000764CC" w:rsidRDefault="000764CC" w:rsidP="00206A0F">
      <w:pPr>
        <w:spacing w:before="120" w:after="120"/>
        <w:ind w:left="360"/>
        <w:rPr>
          <w:rFonts w:cs="Arial"/>
          <w:color w:val="0D0D0D" w:themeColor="text1" w:themeTint="F2"/>
          <w:szCs w:val="21"/>
        </w:rPr>
      </w:pPr>
      <w:r w:rsidRPr="000764CC">
        <w:rPr>
          <w:rFonts w:cs="Arial"/>
          <w:color w:val="0D0D0D" w:themeColor="text1" w:themeTint="F2"/>
          <w:szCs w:val="21"/>
        </w:rPr>
        <w:t xml:space="preserve">Each key is rated </w:t>
      </w:r>
      <w:r w:rsidRPr="000764CC">
        <w:rPr>
          <w:rFonts w:cs="Arial"/>
          <w:b/>
          <w:bCs/>
          <w:color w:val="0D0D0D" w:themeColor="text1" w:themeTint="F2"/>
          <w:szCs w:val="21"/>
        </w:rPr>
        <w:t>Green, Amber, or Red</w:t>
      </w:r>
      <w:r w:rsidRPr="000764CC">
        <w:rPr>
          <w:rFonts w:cs="Arial"/>
          <w:color w:val="0D0D0D" w:themeColor="text1" w:themeTint="F2"/>
          <w:szCs w:val="21"/>
        </w:rPr>
        <w:t>, providing an intuitive “at-a-glance” view of program health for the Consortium and PMO.</w:t>
      </w:r>
    </w:p>
    <w:p w14:paraId="1822B027" w14:textId="77777777" w:rsidR="000764CC" w:rsidRPr="000764CC" w:rsidRDefault="000764CC" w:rsidP="00206A0F">
      <w:pPr>
        <w:numPr>
          <w:ilvl w:val="0"/>
          <w:numId w:val="11"/>
        </w:numPr>
        <w:spacing w:before="60"/>
        <w:ind w:left="717" w:hanging="357"/>
        <w:rPr>
          <w:rFonts w:cs="Arial"/>
          <w:szCs w:val="21"/>
        </w:rPr>
      </w:pPr>
      <w:r w:rsidRPr="000764CC">
        <w:rPr>
          <w:rFonts w:cs="Arial"/>
          <w:b/>
          <w:bCs/>
          <w:szCs w:val="21"/>
        </w:rPr>
        <w:t>Green</w:t>
      </w:r>
      <w:r w:rsidRPr="000764CC">
        <w:rPr>
          <w:rFonts w:cs="Arial"/>
          <w:szCs w:val="21"/>
        </w:rPr>
        <w:t xml:space="preserve"> indicates conditions are on track and sustainable.</w:t>
      </w:r>
    </w:p>
    <w:p w14:paraId="05CC87DC" w14:textId="77777777" w:rsidR="000764CC" w:rsidRPr="000764CC" w:rsidRDefault="000764CC" w:rsidP="00206A0F">
      <w:pPr>
        <w:numPr>
          <w:ilvl w:val="0"/>
          <w:numId w:val="11"/>
        </w:numPr>
        <w:spacing w:before="60"/>
        <w:ind w:left="717" w:hanging="357"/>
        <w:rPr>
          <w:rFonts w:cs="Arial"/>
          <w:szCs w:val="21"/>
        </w:rPr>
      </w:pPr>
      <w:r w:rsidRPr="000764CC">
        <w:rPr>
          <w:rFonts w:cs="Arial"/>
          <w:b/>
          <w:bCs/>
          <w:szCs w:val="21"/>
        </w:rPr>
        <w:t>Amber</w:t>
      </w:r>
      <w:r w:rsidRPr="000764CC">
        <w:rPr>
          <w:rFonts w:cs="Arial"/>
          <w:szCs w:val="21"/>
        </w:rPr>
        <w:t xml:space="preserve"> signals early warning — corrective action recommended.</w:t>
      </w:r>
    </w:p>
    <w:p w14:paraId="1284C589" w14:textId="77777777" w:rsidR="000764CC" w:rsidRPr="000764CC" w:rsidRDefault="000764CC" w:rsidP="00206A0F">
      <w:pPr>
        <w:numPr>
          <w:ilvl w:val="0"/>
          <w:numId w:val="11"/>
        </w:numPr>
        <w:spacing w:before="60"/>
        <w:ind w:left="717" w:hanging="357"/>
        <w:rPr>
          <w:rFonts w:cs="Arial"/>
          <w:szCs w:val="21"/>
        </w:rPr>
      </w:pPr>
      <w:r w:rsidRPr="000764CC">
        <w:rPr>
          <w:rFonts w:cs="Arial"/>
          <w:b/>
          <w:bCs/>
          <w:szCs w:val="21"/>
        </w:rPr>
        <w:t>Red</w:t>
      </w:r>
      <w:r w:rsidRPr="000764CC">
        <w:rPr>
          <w:rFonts w:cs="Arial"/>
          <w:szCs w:val="21"/>
        </w:rPr>
        <w:t xml:space="preserve"> identifies significant risks requiring immediate focus and PMO intervention.</w:t>
      </w:r>
    </w:p>
    <w:p w14:paraId="0A9ADE9B" w14:textId="77777777" w:rsidR="000764CC" w:rsidRPr="000764CC" w:rsidRDefault="000764CC" w:rsidP="00206A0F">
      <w:pPr>
        <w:spacing w:before="120" w:after="120"/>
        <w:ind w:left="360"/>
        <w:rPr>
          <w:rFonts w:cs="Arial"/>
          <w:color w:val="0D0D0D" w:themeColor="text1" w:themeTint="F2"/>
          <w:szCs w:val="21"/>
        </w:rPr>
      </w:pPr>
      <w:r w:rsidRPr="000764CC">
        <w:rPr>
          <w:rFonts w:cs="Arial"/>
          <w:color w:val="0D0D0D" w:themeColor="text1" w:themeTint="F2"/>
          <w:szCs w:val="21"/>
        </w:rPr>
        <w:t xml:space="preserve">IBM treats these indicators not as grades, but as </w:t>
      </w:r>
      <w:r w:rsidRPr="000764CC">
        <w:rPr>
          <w:rFonts w:cs="Arial"/>
          <w:b/>
          <w:bCs/>
          <w:color w:val="0D0D0D" w:themeColor="text1" w:themeTint="F2"/>
          <w:szCs w:val="21"/>
        </w:rPr>
        <w:t>conversation starters</w:t>
      </w:r>
      <w:r w:rsidRPr="000764CC">
        <w:rPr>
          <w:rFonts w:cs="Arial"/>
          <w:color w:val="0D0D0D" w:themeColor="text1" w:themeTint="F2"/>
          <w:szCs w:val="21"/>
        </w:rPr>
        <w:t xml:space="preserve"> used in weekly QA reporting and monthly governance reviews to drive collaboration and problem-solving across contractors.</w:t>
      </w:r>
    </w:p>
    <w:p w14:paraId="0683EF03" w14:textId="77777777" w:rsidR="00A82685" w:rsidRDefault="000764CC" w:rsidP="00206A0F">
      <w:pPr>
        <w:keepNext/>
        <w:spacing w:before="120" w:after="120"/>
        <w:ind w:left="360"/>
        <w:jc w:val="center"/>
      </w:pPr>
      <w:r w:rsidRPr="000764CC">
        <w:rPr>
          <w:rFonts w:cs="Arial"/>
          <w:noProof/>
          <w:color w:val="0D0D0D" w:themeColor="text1" w:themeTint="F2"/>
          <w:szCs w:val="21"/>
        </w:rPr>
        <w:lastRenderedPageBreak/>
        <w:drawing>
          <wp:inline distT="0" distB="0" distL="0" distR="0" wp14:anchorId="52A95A65" wp14:editId="45FDBFEA">
            <wp:extent cx="2847340" cy="2390140"/>
            <wp:effectExtent l="0" t="0" r="0" b="0"/>
            <wp:docPr id="341118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47340" cy="2390140"/>
                    </a:xfrm>
                    <a:prstGeom prst="rect">
                      <a:avLst/>
                    </a:prstGeom>
                    <a:noFill/>
                    <a:ln>
                      <a:noFill/>
                    </a:ln>
                  </pic:spPr>
                </pic:pic>
              </a:graphicData>
            </a:graphic>
          </wp:inline>
        </w:drawing>
      </w:r>
    </w:p>
    <w:p w14:paraId="725A9EDF" w14:textId="0167575C" w:rsidR="000764CC" w:rsidRPr="000764CC" w:rsidRDefault="00A82685" w:rsidP="00206A0F">
      <w:pPr>
        <w:pStyle w:val="Caption"/>
        <w:ind w:left="360"/>
        <w:jc w:val="center"/>
        <w:rPr>
          <w:rFonts w:cs="Arial"/>
          <w:color w:val="0D0D0D" w:themeColor="text1" w:themeTint="F2"/>
          <w:szCs w:val="21"/>
        </w:rPr>
      </w:pPr>
      <w:bookmarkStart w:id="30" w:name="_Toc212408698"/>
      <w:r>
        <w:t xml:space="preserve">Figure 4.2.1. </w:t>
      </w:r>
      <w:r>
        <w:fldChar w:fldCharType="begin"/>
      </w:r>
      <w:r>
        <w:instrText xml:space="preserve"> SEQ Figure_4.2.1. \* ARABIC </w:instrText>
      </w:r>
      <w:r>
        <w:fldChar w:fldCharType="separate"/>
      </w:r>
      <w:r w:rsidR="00FB29F8">
        <w:rPr>
          <w:noProof/>
        </w:rPr>
        <w:t>3</w:t>
      </w:r>
      <w:r>
        <w:fldChar w:fldCharType="end"/>
      </w:r>
      <w:r>
        <w:t xml:space="preserve"> Seven Keys to Success</w:t>
      </w:r>
      <w:bookmarkEnd w:id="30"/>
    </w:p>
    <w:p w14:paraId="6EBA32A8" w14:textId="77777777" w:rsidR="000764CC" w:rsidRDefault="000764CC" w:rsidP="00A06CBD">
      <w:pPr>
        <w:spacing w:before="120" w:after="120"/>
        <w:rPr>
          <w:rFonts w:cs="Arial"/>
          <w:color w:val="0D0D0D" w:themeColor="text1" w:themeTint="F2"/>
          <w:szCs w:val="21"/>
        </w:rPr>
      </w:pPr>
      <w:r w:rsidRPr="000764CC">
        <w:rPr>
          <w:rFonts w:cs="Arial"/>
          <w:color w:val="0D0D0D" w:themeColor="text1" w:themeTint="F2"/>
          <w:szCs w:val="21"/>
        </w:rPr>
        <w:t xml:space="preserve">Through this disciplined reporting structure, IBM ensures the Consortium always has </w:t>
      </w:r>
      <w:r w:rsidRPr="000764CC">
        <w:rPr>
          <w:rFonts w:cs="Arial"/>
          <w:b/>
          <w:bCs/>
          <w:color w:val="0D0D0D" w:themeColor="text1" w:themeTint="F2"/>
          <w:szCs w:val="21"/>
        </w:rPr>
        <w:t>clear, actionable visibility</w:t>
      </w:r>
      <w:r w:rsidRPr="000764CC">
        <w:rPr>
          <w:rFonts w:cs="Arial"/>
          <w:color w:val="0D0D0D" w:themeColor="text1" w:themeTint="F2"/>
          <w:szCs w:val="21"/>
        </w:rPr>
        <w:t xml:space="preserve"> into program performance, vendor alignment, and emerging risks — empowering leadership to make data-driven decisions with confidence.</w:t>
      </w:r>
    </w:p>
    <w:p w14:paraId="60867A98" w14:textId="77777777" w:rsidR="00A06CBD" w:rsidRPr="00A06CBD" w:rsidRDefault="00A06CBD" w:rsidP="00A06CBD">
      <w:pPr>
        <w:pStyle w:val="Caption"/>
      </w:pPr>
    </w:p>
    <w:p w14:paraId="78364446" w14:textId="6A3B6298"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6.</w:t>
      </w:r>
      <w:r w:rsidRPr="000764CC">
        <w:rPr>
          <w:rFonts w:cs="Arial"/>
          <w:b/>
          <w:bCs/>
          <w:color w:val="0D0D0D" w:themeColor="text1" w:themeTint="F2"/>
          <w:szCs w:val="21"/>
        </w:rPr>
        <w:tab/>
        <w:t>Solution in Action</w:t>
      </w:r>
    </w:p>
    <w:p w14:paraId="54E62B56" w14:textId="77777777" w:rsidR="000764CC" w:rsidRPr="000764CC" w:rsidRDefault="000764CC" w:rsidP="00A06CBD">
      <w:pPr>
        <w:spacing w:before="120" w:after="120"/>
        <w:rPr>
          <w:rFonts w:cs="Arial"/>
          <w:color w:val="0D0D0D" w:themeColor="text1" w:themeTint="F2"/>
          <w:szCs w:val="21"/>
        </w:rPr>
      </w:pPr>
      <w:r w:rsidRPr="000764CC">
        <w:rPr>
          <w:rFonts w:cs="Arial"/>
          <w:color w:val="0D0D0D" w:themeColor="text1" w:themeTint="F2"/>
          <w:szCs w:val="21"/>
        </w:rPr>
        <w:t xml:space="preserve">IBM’s approach transforms governance principles into </w:t>
      </w:r>
      <w:r w:rsidRPr="000764CC">
        <w:rPr>
          <w:rFonts w:cs="Arial"/>
          <w:b/>
          <w:bCs/>
          <w:color w:val="0D0D0D" w:themeColor="text1" w:themeTint="F2"/>
          <w:szCs w:val="21"/>
        </w:rPr>
        <w:t>daily operational practice</w:t>
      </w:r>
      <w:r w:rsidRPr="000764CC">
        <w:rPr>
          <w:rFonts w:cs="Arial"/>
          <w:color w:val="0D0D0D" w:themeColor="text1" w:themeTint="F2"/>
          <w:szCs w:val="21"/>
        </w:rPr>
        <w:t>.</w:t>
      </w:r>
      <w:r w:rsidRPr="000764CC">
        <w:rPr>
          <w:rFonts w:cs="Arial"/>
          <w:color w:val="0D0D0D" w:themeColor="text1" w:themeTint="F2"/>
          <w:szCs w:val="21"/>
        </w:rPr>
        <w:br/>
        <w:t>For CalSAWS, this means embedding QA activities directly into the Consortium’s release lifecycle—ensuring that quality, risk, and readiness are managed proactively, not reactively. Each release cycle follows a predictable rhythm aligned with the CalSAWS Master Schedule and vendor delivery plans.</w:t>
      </w:r>
    </w:p>
    <w:p w14:paraId="1D197077" w14:textId="77777777" w:rsidR="000764CC" w:rsidRPr="000764CC" w:rsidRDefault="000764CC" w:rsidP="00A06CBD">
      <w:pPr>
        <w:spacing w:before="120" w:after="120"/>
        <w:rPr>
          <w:rFonts w:cs="Arial"/>
          <w:b/>
          <w:bCs/>
          <w:color w:val="0D0D0D" w:themeColor="text1" w:themeTint="F2"/>
          <w:szCs w:val="21"/>
        </w:rPr>
      </w:pPr>
      <w:r w:rsidRPr="000764CC">
        <w:rPr>
          <w:rFonts w:cs="Arial"/>
          <w:b/>
          <w:bCs/>
          <w:color w:val="0D0D0D" w:themeColor="text1" w:themeTint="F2"/>
          <w:szCs w:val="21"/>
        </w:rPr>
        <w:t>At the Start of Each Release</w:t>
      </w:r>
    </w:p>
    <w:p w14:paraId="73FC401F" w14:textId="67E66E22" w:rsidR="000764CC" w:rsidRPr="000764CC" w:rsidRDefault="000764CC" w:rsidP="004E2111">
      <w:pPr>
        <w:numPr>
          <w:ilvl w:val="0"/>
          <w:numId w:val="11"/>
        </w:numPr>
        <w:spacing w:before="60"/>
        <w:ind w:left="717" w:hanging="357"/>
        <w:rPr>
          <w:rFonts w:cs="Arial"/>
          <w:szCs w:val="21"/>
        </w:rPr>
      </w:pPr>
      <w:r w:rsidRPr="000764CC">
        <w:rPr>
          <w:rFonts w:cs="Arial"/>
          <w:b/>
          <w:bCs/>
          <w:szCs w:val="21"/>
        </w:rPr>
        <w:t>Joint Planning Workshops</w:t>
      </w:r>
      <w:r w:rsidRPr="000764CC">
        <w:rPr>
          <w:rFonts w:cs="Arial"/>
          <w:szCs w:val="21"/>
        </w:rPr>
        <w:t xml:space="preserve"> are convened with the Consortium, </w:t>
      </w:r>
      <w:r w:rsidR="00AF3498">
        <w:rPr>
          <w:rFonts w:cs="Arial"/>
          <w:szCs w:val="21"/>
        </w:rPr>
        <w:t>incumbent CalSAWS vendors (</w:t>
      </w:r>
      <w:r w:rsidRPr="000764CC">
        <w:rPr>
          <w:rFonts w:cs="Arial"/>
          <w:szCs w:val="21"/>
        </w:rPr>
        <w:t>Deloitte (M&amp;E</w:t>
      </w:r>
      <w:r w:rsidR="00C37D71">
        <w:rPr>
          <w:rFonts w:cs="Arial"/>
          <w:szCs w:val="21"/>
        </w:rPr>
        <w:t>, BenefitsCal</w:t>
      </w:r>
      <w:r w:rsidRPr="000764CC">
        <w:rPr>
          <w:rFonts w:cs="Arial"/>
          <w:szCs w:val="21"/>
        </w:rPr>
        <w:t>)</w:t>
      </w:r>
      <w:r w:rsidR="00C37D71">
        <w:rPr>
          <w:rFonts w:cs="Arial"/>
          <w:szCs w:val="21"/>
        </w:rPr>
        <w:t xml:space="preserve"> and</w:t>
      </w:r>
      <w:r w:rsidRPr="000764CC">
        <w:rPr>
          <w:rFonts w:cs="Arial"/>
          <w:szCs w:val="21"/>
        </w:rPr>
        <w:t xml:space="preserve"> Gainwell (Infrastructure)</w:t>
      </w:r>
      <w:r w:rsidR="00AF3498">
        <w:rPr>
          <w:rFonts w:cs="Arial"/>
          <w:szCs w:val="21"/>
        </w:rPr>
        <w:t>)</w:t>
      </w:r>
      <w:r w:rsidR="00C37D71">
        <w:rPr>
          <w:rFonts w:cs="Arial"/>
          <w:szCs w:val="21"/>
        </w:rPr>
        <w:t xml:space="preserve"> </w:t>
      </w:r>
      <w:r w:rsidRPr="000764CC">
        <w:rPr>
          <w:rFonts w:cs="Arial"/>
          <w:szCs w:val="21"/>
        </w:rPr>
        <w:t>to define scope, dependencies, and success criteria.</w:t>
      </w:r>
    </w:p>
    <w:p w14:paraId="2F34DCA0"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A </w:t>
      </w:r>
      <w:r w:rsidRPr="000764CC">
        <w:rPr>
          <w:rFonts w:cs="Arial"/>
          <w:b/>
          <w:bCs/>
          <w:szCs w:val="21"/>
        </w:rPr>
        <w:t>release-specific RACI</w:t>
      </w:r>
      <w:r w:rsidRPr="000764CC">
        <w:rPr>
          <w:rFonts w:cs="Arial"/>
          <w:szCs w:val="21"/>
        </w:rPr>
        <w:t xml:space="preserve"> confirms ownership and eliminates gray areas between vendors.</w:t>
      </w:r>
    </w:p>
    <w:p w14:paraId="1A00A73E"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The </w:t>
      </w:r>
      <w:r w:rsidRPr="000764CC">
        <w:rPr>
          <w:rFonts w:cs="Arial"/>
          <w:b/>
          <w:bCs/>
          <w:szCs w:val="21"/>
        </w:rPr>
        <w:t>QA Schedule (D-QA-02)</w:t>
      </w:r>
      <w:r w:rsidRPr="000764CC">
        <w:rPr>
          <w:rFonts w:cs="Arial"/>
          <w:szCs w:val="21"/>
        </w:rPr>
        <w:t xml:space="preserve"> is updated and validated through the Deliverable Management Process, aligning QA checkpoints with the PMO’s Master Schedule.</w:t>
      </w:r>
    </w:p>
    <w:p w14:paraId="261CA315"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Risk registers</w:t>
      </w:r>
      <w:r w:rsidRPr="000764CC">
        <w:rPr>
          <w:rFonts w:cs="Arial"/>
          <w:szCs w:val="21"/>
        </w:rPr>
        <w:t xml:space="preserve"> are reviewed jointly to identify areas of overlap, dependency, or potential schedule impact.</w:t>
      </w:r>
    </w:p>
    <w:p w14:paraId="33A920E4" w14:textId="77777777" w:rsidR="000764CC" w:rsidRPr="000764CC" w:rsidRDefault="000764CC" w:rsidP="004E2111">
      <w:pPr>
        <w:spacing w:before="120" w:after="120"/>
        <w:ind w:left="360"/>
        <w:rPr>
          <w:rFonts w:cs="Arial"/>
          <w:color w:val="0D0D0D" w:themeColor="text1" w:themeTint="F2"/>
          <w:szCs w:val="21"/>
        </w:rPr>
      </w:pPr>
      <w:r w:rsidRPr="000764CC">
        <w:rPr>
          <w:rFonts w:cs="Arial"/>
          <w:color w:val="0D0D0D" w:themeColor="text1" w:themeTint="F2"/>
          <w:szCs w:val="21"/>
        </w:rPr>
        <w:t>This upfront alignment ensures all teams share a common understanding of objectives, deliverables, and readiness criteria before testing begins.</w:t>
      </w:r>
    </w:p>
    <w:p w14:paraId="7A5F9082" w14:textId="77777777" w:rsidR="000764CC" w:rsidRPr="000764CC" w:rsidRDefault="000764CC" w:rsidP="00A06CBD">
      <w:pPr>
        <w:spacing w:before="120" w:after="120"/>
        <w:rPr>
          <w:rFonts w:cstheme="minorHAnsi"/>
          <w:b/>
          <w:bCs/>
          <w:color w:val="auto"/>
          <w:szCs w:val="21"/>
        </w:rPr>
      </w:pPr>
      <w:r w:rsidRPr="000764CC">
        <w:rPr>
          <w:rFonts w:cs="Arial"/>
          <w:b/>
          <w:bCs/>
          <w:color w:val="0D0D0D" w:themeColor="text1" w:themeTint="F2"/>
          <w:szCs w:val="21"/>
        </w:rPr>
        <w:t>During Execution</w:t>
      </w:r>
    </w:p>
    <w:p w14:paraId="3F37C895"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Daily Stand-Ups (Tactical):</w:t>
      </w:r>
      <w:r w:rsidRPr="000764CC">
        <w:rPr>
          <w:rFonts w:cs="Arial"/>
          <w:szCs w:val="21"/>
        </w:rPr>
        <w:t xml:space="preserve"> IBM and vendor QA leads address blockers, defect triage, and immediate integration issues.</w:t>
      </w:r>
    </w:p>
    <w:p w14:paraId="5A16D19F"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lastRenderedPageBreak/>
        <w:t>Weekly Working Sessions (Operational):</w:t>
      </w:r>
      <w:r w:rsidRPr="000764CC">
        <w:rPr>
          <w:rFonts w:cs="Arial"/>
          <w:szCs w:val="21"/>
        </w:rPr>
        <w:t xml:space="preserve"> Joint teams focus on progress toward release goals, ensuring quality coverage and synchronized test cycles across environments.</w:t>
      </w:r>
    </w:p>
    <w:p w14:paraId="3874A444"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Continuous Reporting:</w:t>
      </w:r>
      <w:r w:rsidRPr="000764CC">
        <w:rPr>
          <w:rFonts w:cs="Arial"/>
          <w:szCs w:val="21"/>
        </w:rPr>
        <w:t xml:space="preserve"> QA metrics, test coverage, and defect trends are updated in JIRA/JTM and reflected in the Quality Index Dashboard, giving the Consortium real-time visibility into release health.</w:t>
      </w:r>
    </w:p>
    <w:p w14:paraId="6DCEA6EF" w14:textId="77777777" w:rsidR="000764CC" w:rsidRPr="000764CC" w:rsidRDefault="000764CC" w:rsidP="004E2111">
      <w:pPr>
        <w:spacing w:before="120" w:after="120"/>
        <w:ind w:left="360"/>
        <w:rPr>
          <w:rFonts w:cs="Arial"/>
          <w:color w:val="0D0D0D" w:themeColor="text1" w:themeTint="F2"/>
          <w:szCs w:val="21"/>
        </w:rPr>
      </w:pPr>
      <w:r w:rsidRPr="000764CC">
        <w:rPr>
          <w:rFonts w:cs="Arial"/>
          <w:color w:val="0D0D0D" w:themeColor="text1" w:themeTint="F2"/>
          <w:szCs w:val="21"/>
        </w:rPr>
        <w:t xml:space="preserve">As testing proceeds, IBM’s </w:t>
      </w:r>
      <w:r w:rsidRPr="000764CC">
        <w:rPr>
          <w:rFonts w:cs="Arial"/>
          <w:b/>
          <w:bCs/>
          <w:color w:val="0D0D0D" w:themeColor="text1" w:themeTint="F2"/>
          <w:szCs w:val="21"/>
        </w:rPr>
        <w:t>Intelligent Quality Platform (IQP+)</w:t>
      </w:r>
      <w:r w:rsidRPr="000764CC">
        <w:rPr>
          <w:rFonts w:cs="Arial"/>
          <w:color w:val="0D0D0D" w:themeColor="text1" w:themeTint="F2"/>
          <w:szCs w:val="21"/>
        </w:rPr>
        <w:t xml:space="preserve"> performs predictive analytics to surface emerging risks—such as modules with recurring defects or systemic process gaps—allowing early intervention.</w:t>
      </w:r>
    </w:p>
    <w:p w14:paraId="2BE6FDAF" w14:textId="77777777" w:rsidR="000764CC" w:rsidRPr="000764CC" w:rsidRDefault="000764CC" w:rsidP="004E2111">
      <w:pPr>
        <w:spacing w:before="120" w:after="120"/>
        <w:ind w:left="360"/>
        <w:rPr>
          <w:rFonts w:cs="Arial"/>
          <w:b/>
          <w:bCs/>
          <w:color w:val="0D0D0D" w:themeColor="text1" w:themeTint="F2"/>
          <w:szCs w:val="21"/>
        </w:rPr>
      </w:pPr>
      <w:r w:rsidRPr="000764CC">
        <w:rPr>
          <w:rFonts w:cs="Arial"/>
          <w:b/>
          <w:bCs/>
          <w:color w:val="0D0D0D" w:themeColor="text1" w:themeTint="F2"/>
          <w:szCs w:val="21"/>
        </w:rPr>
        <w:t>Prior to Deployment</w:t>
      </w:r>
    </w:p>
    <w:p w14:paraId="579EFAEA"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Readiness Reviews</w:t>
      </w:r>
      <w:r w:rsidRPr="000764CC">
        <w:rPr>
          <w:rFonts w:cs="Arial"/>
          <w:szCs w:val="21"/>
        </w:rPr>
        <w:t xml:space="preserve"> are conducted collaboratively through PMO governance, leveraging data from QA Status Reports (D-QA-03) and Metrics Dashboards (D-QA-04).</w:t>
      </w:r>
    </w:p>
    <w:p w14:paraId="090CC2C5"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Green-Light Checkpoints</w:t>
      </w:r>
      <w:r w:rsidRPr="000764CC">
        <w:rPr>
          <w:rFonts w:cs="Arial"/>
          <w:szCs w:val="21"/>
        </w:rPr>
        <w:t xml:space="preserve"> confirm that all testing artifacts meet acceptance criteria and that unresolved issues are documented and risk-assessed.</w:t>
      </w:r>
    </w:p>
    <w:p w14:paraId="4998B849"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Release Readiness Summaries</w:t>
      </w:r>
      <w:r w:rsidRPr="000764CC">
        <w:rPr>
          <w:rFonts w:cs="Arial"/>
          <w:szCs w:val="21"/>
        </w:rPr>
        <w:t xml:space="preserve"> are presented to the Consortium, integrating input from all contractors to ensure transparency and alignment.</w:t>
      </w:r>
    </w:p>
    <w:p w14:paraId="02E2B59F" w14:textId="77777777" w:rsidR="000764CC" w:rsidRPr="000764CC" w:rsidRDefault="000764CC" w:rsidP="004E2111">
      <w:pPr>
        <w:spacing w:before="120" w:after="120"/>
        <w:ind w:left="360"/>
        <w:rPr>
          <w:rFonts w:cs="Arial"/>
          <w:color w:val="0D0D0D" w:themeColor="text1" w:themeTint="F2"/>
          <w:szCs w:val="21"/>
        </w:rPr>
      </w:pPr>
      <w:r w:rsidRPr="000764CC">
        <w:rPr>
          <w:rFonts w:cs="Arial"/>
          <w:color w:val="0D0D0D" w:themeColor="text1" w:themeTint="F2"/>
          <w:szCs w:val="21"/>
        </w:rPr>
        <w:t xml:space="preserve">These checkpoints convert QA results into </w:t>
      </w:r>
      <w:r w:rsidRPr="000764CC">
        <w:rPr>
          <w:rFonts w:cs="Arial"/>
          <w:b/>
          <w:bCs/>
          <w:color w:val="0D0D0D" w:themeColor="text1" w:themeTint="F2"/>
          <w:szCs w:val="21"/>
        </w:rPr>
        <w:t>clear go/no-go recommendations</w:t>
      </w:r>
      <w:r w:rsidRPr="000764CC">
        <w:rPr>
          <w:rFonts w:cs="Arial"/>
          <w:color w:val="0D0D0D" w:themeColor="text1" w:themeTint="F2"/>
          <w:szCs w:val="21"/>
        </w:rPr>
        <w:t>, backed by data, not opinion.</w:t>
      </w:r>
    </w:p>
    <w:p w14:paraId="4E5E33DB" w14:textId="77777777" w:rsidR="000764CC" w:rsidRPr="000764CC" w:rsidRDefault="000764CC" w:rsidP="004E2111">
      <w:pPr>
        <w:spacing w:before="120" w:after="120"/>
        <w:ind w:left="360"/>
        <w:rPr>
          <w:rFonts w:cs="Arial"/>
          <w:b/>
          <w:bCs/>
          <w:color w:val="0D0D0D" w:themeColor="text1" w:themeTint="F2"/>
          <w:szCs w:val="21"/>
        </w:rPr>
      </w:pPr>
      <w:r w:rsidRPr="000764CC">
        <w:rPr>
          <w:rFonts w:cs="Arial"/>
          <w:b/>
          <w:bCs/>
          <w:color w:val="0D0D0D" w:themeColor="text1" w:themeTint="F2"/>
          <w:szCs w:val="21"/>
        </w:rPr>
        <w:t>After Release</w:t>
      </w:r>
    </w:p>
    <w:p w14:paraId="0EF84104"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Post-Release Reviews</w:t>
      </w:r>
      <w:r w:rsidRPr="000764CC">
        <w:rPr>
          <w:rFonts w:cs="Arial"/>
          <w:szCs w:val="21"/>
        </w:rPr>
        <w:t xml:space="preserve"> capture lessons learned, evaluate defect leakage, and assess performance against metrics such as test coverage, cycle time, and collaboration efficiency.</w:t>
      </w:r>
    </w:p>
    <w:p w14:paraId="64E2E282"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Findings are documented in </w:t>
      </w:r>
      <w:r w:rsidRPr="000764CC">
        <w:rPr>
          <w:rFonts w:cs="Arial"/>
          <w:b/>
          <w:bCs/>
          <w:szCs w:val="21"/>
        </w:rPr>
        <w:t>Continuous Improvement Reports (D-QA-06)</w:t>
      </w:r>
      <w:r w:rsidRPr="000764CC">
        <w:rPr>
          <w:rFonts w:cs="Arial"/>
          <w:szCs w:val="21"/>
        </w:rPr>
        <w:t xml:space="preserve"> and reviewed jointly with the Consortium and vendors to identify process improvements.</w:t>
      </w:r>
    </w:p>
    <w:p w14:paraId="6F188DEF"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Updates from these reviews inform the next QA cycle—ensuring that insights translate directly into better predictability and lower risk across future releases.</w:t>
      </w:r>
    </w:p>
    <w:p w14:paraId="1C09FB91" w14:textId="77777777" w:rsidR="000764CC" w:rsidRPr="000764CC" w:rsidRDefault="000764CC" w:rsidP="004E2111">
      <w:pPr>
        <w:spacing w:before="120" w:after="120"/>
        <w:ind w:left="360"/>
        <w:rPr>
          <w:rFonts w:cs="Arial"/>
          <w:b/>
          <w:bCs/>
          <w:color w:val="0D0D0D" w:themeColor="text1" w:themeTint="F2"/>
          <w:szCs w:val="21"/>
        </w:rPr>
      </w:pPr>
      <w:r w:rsidRPr="000764CC">
        <w:rPr>
          <w:rFonts w:cs="Arial"/>
          <w:b/>
          <w:bCs/>
          <w:color w:val="0D0D0D" w:themeColor="text1" w:themeTint="F2"/>
          <w:szCs w:val="21"/>
        </w:rPr>
        <w:t>Ongoing Outcomes</w:t>
      </w:r>
    </w:p>
    <w:p w14:paraId="4604B953" w14:textId="77777777" w:rsidR="000764CC" w:rsidRPr="000764CC" w:rsidRDefault="000764CC" w:rsidP="004E2111">
      <w:pPr>
        <w:spacing w:before="120" w:after="120"/>
        <w:ind w:left="360"/>
        <w:rPr>
          <w:rFonts w:cstheme="minorHAnsi"/>
          <w:color w:val="auto"/>
          <w:szCs w:val="21"/>
        </w:rPr>
      </w:pPr>
      <w:r w:rsidRPr="000764CC">
        <w:rPr>
          <w:rFonts w:cstheme="minorHAnsi"/>
          <w:color w:val="auto"/>
          <w:szCs w:val="21"/>
        </w:rPr>
        <w:t>Through this disciplined cycle, the Consortium gains:</w:t>
      </w:r>
    </w:p>
    <w:p w14:paraId="3E468237"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Real-time visibility</w:t>
      </w:r>
      <w:r w:rsidRPr="000764CC">
        <w:rPr>
          <w:rFonts w:cs="Arial"/>
          <w:szCs w:val="21"/>
        </w:rPr>
        <w:t xml:space="preserve"> into QA progress, risks, and readiness through unified dashboards and reports.</w:t>
      </w:r>
    </w:p>
    <w:p w14:paraId="31FE4263"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Predictability</w:t>
      </w:r>
      <w:r w:rsidRPr="000764CC">
        <w:rPr>
          <w:rFonts w:cs="Arial"/>
          <w:szCs w:val="21"/>
        </w:rPr>
        <w:t xml:space="preserve"> across releases due to standardized QA checkpoints and governance integration.</w:t>
      </w:r>
    </w:p>
    <w:p w14:paraId="0245919B"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Cross-vendor accountability</w:t>
      </w:r>
      <w:r w:rsidRPr="000764CC">
        <w:rPr>
          <w:rFonts w:cs="Arial"/>
          <w:szCs w:val="21"/>
        </w:rPr>
        <w:t xml:space="preserve"> built on transparency, measurable data, and shared action tracking.</w:t>
      </w:r>
    </w:p>
    <w:p w14:paraId="41EF9F48"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Continuous improvement</w:t>
      </w:r>
      <w:r w:rsidRPr="000764CC">
        <w:rPr>
          <w:rFonts w:cs="Arial"/>
          <w:szCs w:val="21"/>
        </w:rPr>
        <w:t xml:space="preserve"> driven by lessons learned, metrics analysis, and collaborative retrospectives.</w:t>
      </w:r>
    </w:p>
    <w:p w14:paraId="20BE5AF0" w14:textId="77777777" w:rsidR="000764CC" w:rsidRPr="000764CC" w:rsidRDefault="000764CC" w:rsidP="004E2111">
      <w:pPr>
        <w:spacing w:before="120" w:after="120"/>
        <w:ind w:left="360"/>
        <w:rPr>
          <w:rFonts w:cs="Arial"/>
          <w:color w:val="0D0D0D" w:themeColor="text1" w:themeTint="F2"/>
          <w:szCs w:val="21"/>
        </w:rPr>
      </w:pPr>
      <w:r w:rsidRPr="000764CC">
        <w:rPr>
          <w:rFonts w:cs="Arial"/>
          <w:color w:val="0D0D0D" w:themeColor="text1" w:themeTint="F2"/>
          <w:szCs w:val="21"/>
        </w:rPr>
        <w:t xml:space="preserve">This structure fosters a </w:t>
      </w:r>
      <w:r w:rsidRPr="000764CC">
        <w:rPr>
          <w:rFonts w:cs="Arial"/>
          <w:b/>
          <w:bCs/>
          <w:color w:val="0D0D0D" w:themeColor="text1" w:themeTint="F2"/>
          <w:szCs w:val="21"/>
        </w:rPr>
        <w:t>culture of predictability, accountability, and trust</w:t>
      </w:r>
      <w:r w:rsidRPr="000764CC">
        <w:rPr>
          <w:rFonts w:cs="Arial"/>
          <w:color w:val="0D0D0D" w:themeColor="text1" w:themeTint="F2"/>
          <w:szCs w:val="21"/>
        </w:rPr>
        <w:t>—the foundation for sustained program success within CalSAWS’ multi-contractor environment.</w:t>
      </w:r>
    </w:p>
    <w:p w14:paraId="41B36222" w14:textId="034251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lastRenderedPageBreak/>
        <w:t>7.</w:t>
      </w:r>
      <w:r w:rsidRPr="000764CC">
        <w:rPr>
          <w:rFonts w:cs="Arial"/>
          <w:b/>
          <w:bCs/>
          <w:color w:val="0D0D0D" w:themeColor="text1" w:themeTint="F2"/>
          <w:szCs w:val="21"/>
        </w:rPr>
        <w:tab/>
        <w:t>Metrics of Success</w:t>
      </w:r>
    </w:p>
    <w:p w14:paraId="19C88DFE" w14:textId="77777777" w:rsidR="000764CC" w:rsidRPr="000764CC" w:rsidRDefault="000764CC" w:rsidP="00A06CBD">
      <w:pPr>
        <w:spacing w:before="120" w:after="120"/>
        <w:rPr>
          <w:rFonts w:cs="Arial"/>
          <w:color w:val="0D0D0D" w:themeColor="text1" w:themeTint="F2"/>
          <w:szCs w:val="21"/>
        </w:rPr>
      </w:pPr>
      <w:r w:rsidRPr="000764CC">
        <w:rPr>
          <w:rFonts w:cs="Arial"/>
          <w:color w:val="0D0D0D" w:themeColor="text1" w:themeTint="F2"/>
          <w:szCs w:val="21"/>
        </w:rPr>
        <w:t xml:space="preserve">The CalSAWS Consortium expects QA performance to be measurable, transparent, and directly tied to improved coordination and delivery outcomes. IBM will report against clear, quantitative indicators that reflect both </w:t>
      </w:r>
      <w:r w:rsidRPr="000764CC">
        <w:rPr>
          <w:rFonts w:cs="Arial"/>
          <w:b/>
          <w:bCs/>
          <w:color w:val="0D0D0D" w:themeColor="text1" w:themeTint="F2"/>
          <w:szCs w:val="21"/>
        </w:rPr>
        <w:t>quality outcomes</w:t>
      </w:r>
      <w:r w:rsidRPr="000764CC">
        <w:rPr>
          <w:rFonts w:cs="Arial"/>
          <w:color w:val="0D0D0D" w:themeColor="text1" w:themeTint="F2"/>
          <w:szCs w:val="21"/>
        </w:rPr>
        <w:t xml:space="preserve"> and </w:t>
      </w:r>
      <w:r w:rsidRPr="000764CC">
        <w:rPr>
          <w:rFonts w:cs="Arial"/>
          <w:b/>
          <w:bCs/>
          <w:color w:val="0D0D0D" w:themeColor="text1" w:themeTint="F2"/>
          <w:szCs w:val="21"/>
        </w:rPr>
        <w:t>collaborative effectiveness</w:t>
      </w:r>
      <w:r w:rsidRPr="000764CC">
        <w:rPr>
          <w:rFonts w:cs="Arial"/>
          <w:color w:val="0D0D0D" w:themeColor="text1" w:themeTint="F2"/>
          <w:szCs w:val="21"/>
        </w:rPr>
        <w:t xml:space="preserve"> across all vendors.</w:t>
      </w:r>
    </w:p>
    <w:p w14:paraId="07F3B9BA" w14:textId="414137ED" w:rsidR="000764CC" w:rsidRPr="00A1545B" w:rsidRDefault="000764CC" w:rsidP="00A1545B">
      <w:pPr>
        <w:spacing w:before="120" w:after="120"/>
        <w:rPr>
          <w:rFonts w:cs="Arial"/>
          <w:color w:val="0D0D0D" w:themeColor="text1" w:themeTint="F2"/>
          <w:szCs w:val="21"/>
        </w:rPr>
      </w:pPr>
      <w:r w:rsidRPr="000764CC">
        <w:rPr>
          <w:rFonts w:cs="Arial"/>
          <w:color w:val="0D0D0D" w:themeColor="text1" w:themeTint="F2"/>
          <w:szCs w:val="21"/>
        </w:rPr>
        <w:t xml:space="preserve">These metrics will be tracked in the </w:t>
      </w:r>
      <w:r w:rsidRPr="000764CC">
        <w:rPr>
          <w:rFonts w:cs="Arial"/>
          <w:b/>
          <w:bCs/>
          <w:color w:val="0D0D0D" w:themeColor="text1" w:themeTint="F2"/>
          <w:szCs w:val="21"/>
        </w:rPr>
        <w:t>Quality Index Dashboard (D-QA-04)</w:t>
      </w:r>
      <w:r w:rsidRPr="000764CC">
        <w:rPr>
          <w:rFonts w:cs="Arial"/>
          <w:color w:val="0D0D0D" w:themeColor="text1" w:themeTint="F2"/>
          <w:szCs w:val="21"/>
        </w:rPr>
        <w:t xml:space="preserve"> and reviewed during regular governance meetings with the PMO and contractors.</w:t>
      </w:r>
    </w:p>
    <w:p w14:paraId="5B3C22D5" w14:textId="24A64267" w:rsidR="00A1545B" w:rsidRDefault="00A1545B" w:rsidP="00A1545B">
      <w:pPr>
        <w:pStyle w:val="Caption"/>
        <w:keepNext/>
        <w:jc w:val="center"/>
      </w:pPr>
      <w:bookmarkStart w:id="31" w:name="_Toc213069368"/>
      <w:r>
        <w:t xml:space="preserve">Table 4.2.1. </w:t>
      </w:r>
      <w:r>
        <w:fldChar w:fldCharType="begin"/>
      </w:r>
      <w:r>
        <w:instrText xml:space="preserve"> SEQ Table_4.2.1. \* ARABIC </w:instrText>
      </w:r>
      <w:r>
        <w:fldChar w:fldCharType="separate"/>
      </w:r>
      <w:r>
        <w:rPr>
          <w:noProof/>
        </w:rPr>
        <w:t>4</w:t>
      </w:r>
      <w:r>
        <w:fldChar w:fldCharType="end"/>
      </w:r>
      <w:r>
        <w:t xml:space="preserve"> Quality Index Dashboard (D-QA-04)</w:t>
      </w:r>
      <w:bookmarkEnd w:id="31"/>
    </w:p>
    <w:tbl>
      <w:tblPr>
        <w:tblStyle w:val="TableGrid"/>
        <w:tblW w:w="9345"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654"/>
        <w:gridCol w:w="1686"/>
        <w:gridCol w:w="5005"/>
      </w:tblGrid>
      <w:tr w:rsidR="00A740E3" w:rsidRPr="000764CC" w14:paraId="0DB78CBE" w14:textId="77777777" w:rsidTr="00A06CBD">
        <w:trPr>
          <w:cnfStyle w:val="100000000000" w:firstRow="1" w:lastRow="0" w:firstColumn="0" w:lastColumn="0" w:oddVBand="0" w:evenVBand="0" w:oddHBand="0" w:evenHBand="0" w:firstRowFirstColumn="0" w:firstRowLastColumn="0" w:lastRowFirstColumn="0" w:lastRowLastColumn="0"/>
        </w:trPr>
        <w:tc>
          <w:tcPr>
            <w:tcW w:w="0" w:type="auto"/>
            <w:shd w:val="clear" w:color="auto" w:fill="0070C0"/>
            <w:vAlign w:val="center"/>
            <w:hideMark/>
          </w:tcPr>
          <w:p w14:paraId="2C28C56D" w14:textId="77777777" w:rsidR="000764CC" w:rsidRPr="000764CC" w:rsidRDefault="000764CC" w:rsidP="00725431">
            <w:pPr>
              <w:spacing w:before="60"/>
              <w:rPr>
                <w:rFonts w:cs="Arial"/>
                <w:b/>
                <w:color w:val="FFFFFF" w:themeColor="background1"/>
                <w:szCs w:val="18"/>
              </w:rPr>
            </w:pPr>
            <w:r w:rsidRPr="000764CC">
              <w:rPr>
                <w:rFonts w:cs="Arial"/>
                <w:b/>
                <w:color w:val="FFFFFF" w:themeColor="background1"/>
                <w:szCs w:val="18"/>
              </w:rPr>
              <w:t>Metric</w:t>
            </w:r>
          </w:p>
        </w:tc>
        <w:tc>
          <w:tcPr>
            <w:tcW w:w="0" w:type="auto"/>
            <w:shd w:val="clear" w:color="auto" w:fill="0070C0"/>
            <w:vAlign w:val="center"/>
            <w:hideMark/>
          </w:tcPr>
          <w:p w14:paraId="332AAA8F" w14:textId="77777777" w:rsidR="000764CC" w:rsidRPr="000764CC" w:rsidRDefault="000764CC" w:rsidP="00725431">
            <w:pPr>
              <w:spacing w:before="60"/>
              <w:rPr>
                <w:rFonts w:cs="Arial"/>
                <w:b/>
                <w:color w:val="FFFFFF" w:themeColor="background1"/>
                <w:szCs w:val="18"/>
              </w:rPr>
            </w:pPr>
            <w:r w:rsidRPr="000764CC">
              <w:rPr>
                <w:rFonts w:cs="Arial"/>
                <w:b/>
                <w:color w:val="FFFFFF" w:themeColor="background1"/>
                <w:szCs w:val="18"/>
              </w:rPr>
              <w:t>Target / Outcome</w:t>
            </w:r>
          </w:p>
        </w:tc>
        <w:tc>
          <w:tcPr>
            <w:tcW w:w="0" w:type="auto"/>
            <w:shd w:val="clear" w:color="auto" w:fill="0070C0"/>
            <w:vAlign w:val="center"/>
            <w:hideMark/>
          </w:tcPr>
          <w:p w14:paraId="06DE0020" w14:textId="77777777" w:rsidR="000764CC" w:rsidRPr="000764CC" w:rsidRDefault="000764CC" w:rsidP="00725431">
            <w:pPr>
              <w:spacing w:before="60"/>
              <w:rPr>
                <w:rFonts w:cs="Arial"/>
                <w:b/>
                <w:color w:val="FFFFFF" w:themeColor="background1"/>
                <w:szCs w:val="18"/>
              </w:rPr>
            </w:pPr>
            <w:r w:rsidRPr="000764CC">
              <w:rPr>
                <w:rFonts w:cs="Arial"/>
                <w:b/>
                <w:color w:val="FFFFFF" w:themeColor="background1"/>
                <w:szCs w:val="18"/>
              </w:rPr>
              <w:t>Value to the Consortium</w:t>
            </w:r>
          </w:p>
        </w:tc>
      </w:tr>
      <w:tr w:rsidR="00A740E3" w:rsidRPr="000764CC" w14:paraId="3DDFA615" w14:textId="77777777" w:rsidTr="00A06CBD">
        <w:tc>
          <w:tcPr>
            <w:tcW w:w="0" w:type="auto"/>
            <w:shd w:val="clear" w:color="auto" w:fill="FFFFFF" w:themeFill="background1"/>
            <w:vAlign w:val="center"/>
            <w:hideMark/>
          </w:tcPr>
          <w:p w14:paraId="559F0294" w14:textId="77777777" w:rsidR="000764CC" w:rsidRPr="000764CC" w:rsidRDefault="000764CC" w:rsidP="000764CC">
            <w:pPr>
              <w:spacing w:before="60"/>
              <w:rPr>
                <w:rFonts w:cs="Arial"/>
                <w:b/>
                <w:bCs/>
                <w:szCs w:val="21"/>
              </w:rPr>
            </w:pPr>
            <w:r w:rsidRPr="000764CC">
              <w:rPr>
                <w:rFonts w:cs="Arial"/>
                <w:b/>
                <w:bCs/>
                <w:szCs w:val="21"/>
              </w:rPr>
              <w:t>Cross-contractor decisions documented</w:t>
            </w:r>
          </w:p>
        </w:tc>
        <w:tc>
          <w:tcPr>
            <w:tcW w:w="0" w:type="auto"/>
            <w:shd w:val="clear" w:color="auto" w:fill="FFFFFF" w:themeFill="background1"/>
            <w:vAlign w:val="center"/>
            <w:hideMark/>
          </w:tcPr>
          <w:p w14:paraId="5032D263" w14:textId="77777777" w:rsidR="000764CC" w:rsidRPr="000764CC" w:rsidRDefault="000764CC" w:rsidP="000764CC">
            <w:pPr>
              <w:spacing w:before="60"/>
              <w:jc w:val="center"/>
              <w:rPr>
                <w:rFonts w:cs="Arial"/>
                <w:szCs w:val="21"/>
              </w:rPr>
            </w:pPr>
            <w:r w:rsidRPr="000764CC">
              <w:rPr>
                <w:rFonts w:cs="Arial"/>
                <w:szCs w:val="21"/>
              </w:rPr>
              <w:t>100% within 48 hours</w:t>
            </w:r>
          </w:p>
        </w:tc>
        <w:tc>
          <w:tcPr>
            <w:tcW w:w="0" w:type="auto"/>
            <w:shd w:val="clear" w:color="auto" w:fill="FFFFFF" w:themeFill="background1"/>
            <w:vAlign w:val="center"/>
            <w:hideMark/>
          </w:tcPr>
          <w:p w14:paraId="48BE0C03" w14:textId="77777777" w:rsidR="000764CC" w:rsidRPr="000764CC" w:rsidRDefault="000764CC" w:rsidP="000764CC">
            <w:pPr>
              <w:spacing w:before="60"/>
              <w:rPr>
                <w:rFonts w:cs="Arial"/>
                <w:szCs w:val="21"/>
              </w:rPr>
            </w:pPr>
            <w:r w:rsidRPr="000764CC">
              <w:rPr>
                <w:rFonts w:cs="Arial"/>
                <w:szCs w:val="21"/>
              </w:rPr>
              <w:t>Ensures alignment and accountability across vendors; no decision gaps or ambiguity.</w:t>
            </w:r>
          </w:p>
        </w:tc>
      </w:tr>
      <w:tr w:rsidR="00A740E3" w:rsidRPr="000764CC" w14:paraId="09C502FC" w14:textId="77777777" w:rsidTr="00A06CBD">
        <w:tc>
          <w:tcPr>
            <w:tcW w:w="0" w:type="auto"/>
            <w:shd w:val="clear" w:color="auto" w:fill="FFFFFF" w:themeFill="background1"/>
            <w:vAlign w:val="center"/>
            <w:hideMark/>
          </w:tcPr>
          <w:p w14:paraId="47F3490C" w14:textId="77777777" w:rsidR="000764CC" w:rsidRPr="000764CC" w:rsidRDefault="000764CC" w:rsidP="000764CC">
            <w:pPr>
              <w:spacing w:before="60"/>
              <w:rPr>
                <w:rFonts w:cs="Arial"/>
                <w:b/>
                <w:bCs/>
                <w:szCs w:val="21"/>
              </w:rPr>
            </w:pPr>
            <w:r w:rsidRPr="000764CC">
              <w:rPr>
                <w:rFonts w:cs="Arial"/>
                <w:b/>
                <w:bCs/>
                <w:szCs w:val="21"/>
              </w:rPr>
              <w:t>Conflict-resolution turnaround</w:t>
            </w:r>
          </w:p>
        </w:tc>
        <w:tc>
          <w:tcPr>
            <w:tcW w:w="0" w:type="auto"/>
            <w:shd w:val="clear" w:color="auto" w:fill="FFFFFF" w:themeFill="background1"/>
            <w:vAlign w:val="center"/>
            <w:hideMark/>
          </w:tcPr>
          <w:p w14:paraId="5B462DE5" w14:textId="77777777" w:rsidR="000764CC" w:rsidRPr="000764CC" w:rsidRDefault="000764CC" w:rsidP="000764CC">
            <w:pPr>
              <w:spacing w:before="60"/>
              <w:jc w:val="center"/>
              <w:rPr>
                <w:rFonts w:cs="Arial"/>
                <w:szCs w:val="21"/>
              </w:rPr>
            </w:pPr>
            <w:r w:rsidRPr="000764CC">
              <w:rPr>
                <w:rFonts w:cs="Arial"/>
                <w:szCs w:val="21"/>
              </w:rPr>
              <w:t>&lt; 3 business days</w:t>
            </w:r>
          </w:p>
        </w:tc>
        <w:tc>
          <w:tcPr>
            <w:tcW w:w="0" w:type="auto"/>
            <w:shd w:val="clear" w:color="auto" w:fill="FFFFFF" w:themeFill="background1"/>
            <w:vAlign w:val="center"/>
            <w:hideMark/>
          </w:tcPr>
          <w:p w14:paraId="2E5B908B" w14:textId="77777777" w:rsidR="000764CC" w:rsidRPr="000764CC" w:rsidRDefault="000764CC" w:rsidP="000764CC">
            <w:pPr>
              <w:spacing w:before="60"/>
              <w:rPr>
                <w:rFonts w:cs="Arial"/>
                <w:szCs w:val="21"/>
              </w:rPr>
            </w:pPr>
            <w:r w:rsidRPr="000764CC">
              <w:rPr>
                <w:rFonts w:cs="Arial"/>
                <w:szCs w:val="21"/>
              </w:rPr>
              <w:t>Keeps release schedules on track by resolving issues rapidly through the RIM process.</w:t>
            </w:r>
          </w:p>
        </w:tc>
      </w:tr>
      <w:tr w:rsidR="00A740E3" w:rsidRPr="000764CC" w14:paraId="7D30B5C8" w14:textId="77777777" w:rsidTr="00A06CBD">
        <w:tc>
          <w:tcPr>
            <w:tcW w:w="0" w:type="auto"/>
            <w:shd w:val="clear" w:color="auto" w:fill="FFFFFF" w:themeFill="background1"/>
            <w:vAlign w:val="center"/>
            <w:hideMark/>
          </w:tcPr>
          <w:p w14:paraId="661032E5" w14:textId="77777777" w:rsidR="000764CC" w:rsidRPr="000764CC" w:rsidRDefault="000764CC" w:rsidP="000764CC">
            <w:pPr>
              <w:spacing w:before="60"/>
              <w:rPr>
                <w:rFonts w:cs="Arial"/>
                <w:b/>
                <w:bCs/>
                <w:szCs w:val="21"/>
              </w:rPr>
            </w:pPr>
            <w:r w:rsidRPr="000764CC">
              <w:rPr>
                <w:rFonts w:cs="Arial"/>
                <w:b/>
                <w:bCs/>
                <w:szCs w:val="21"/>
              </w:rPr>
              <w:t>RACI adherence</w:t>
            </w:r>
          </w:p>
        </w:tc>
        <w:tc>
          <w:tcPr>
            <w:tcW w:w="0" w:type="auto"/>
            <w:shd w:val="clear" w:color="auto" w:fill="FFFFFF" w:themeFill="background1"/>
            <w:vAlign w:val="center"/>
            <w:hideMark/>
          </w:tcPr>
          <w:p w14:paraId="167D619F" w14:textId="77777777" w:rsidR="000764CC" w:rsidRPr="000764CC" w:rsidRDefault="000764CC" w:rsidP="000764CC">
            <w:pPr>
              <w:spacing w:before="60"/>
              <w:jc w:val="center"/>
              <w:rPr>
                <w:rFonts w:cs="Arial"/>
                <w:szCs w:val="21"/>
              </w:rPr>
            </w:pPr>
            <w:r w:rsidRPr="000764CC">
              <w:rPr>
                <w:rFonts w:cs="Arial"/>
                <w:szCs w:val="21"/>
              </w:rPr>
              <w:t>≥ 95% compliance</w:t>
            </w:r>
          </w:p>
        </w:tc>
        <w:tc>
          <w:tcPr>
            <w:tcW w:w="0" w:type="auto"/>
            <w:shd w:val="clear" w:color="auto" w:fill="FFFFFF" w:themeFill="background1"/>
            <w:vAlign w:val="center"/>
            <w:hideMark/>
          </w:tcPr>
          <w:p w14:paraId="6316CFD9" w14:textId="77777777" w:rsidR="000764CC" w:rsidRPr="000764CC" w:rsidRDefault="000764CC" w:rsidP="000764CC">
            <w:pPr>
              <w:spacing w:before="60"/>
              <w:rPr>
                <w:rFonts w:cs="Arial"/>
                <w:szCs w:val="21"/>
              </w:rPr>
            </w:pPr>
            <w:r w:rsidRPr="000764CC">
              <w:rPr>
                <w:rFonts w:cs="Arial"/>
                <w:szCs w:val="21"/>
              </w:rPr>
              <w:t>Confirms clarity of ownership and prevents overlap between contractors.</w:t>
            </w:r>
          </w:p>
        </w:tc>
      </w:tr>
      <w:tr w:rsidR="00A740E3" w:rsidRPr="000764CC" w14:paraId="05ECEFFB" w14:textId="77777777" w:rsidTr="00A06CBD">
        <w:tc>
          <w:tcPr>
            <w:tcW w:w="0" w:type="auto"/>
            <w:shd w:val="clear" w:color="auto" w:fill="FFFFFF" w:themeFill="background1"/>
            <w:vAlign w:val="center"/>
            <w:hideMark/>
          </w:tcPr>
          <w:p w14:paraId="50BAC6D2" w14:textId="77777777" w:rsidR="000764CC" w:rsidRPr="000764CC" w:rsidRDefault="000764CC" w:rsidP="000764CC">
            <w:pPr>
              <w:spacing w:before="60"/>
              <w:rPr>
                <w:rFonts w:cs="Arial"/>
                <w:b/>
                <w:bCs/>
                <w:szCs w:val="21"/>
              </w:rPr>
            </w:pPr>
            <w:r w:rsidRPr="000764CC">
              <w:rPr>
                <w:rFonts w:cs="Arial"/>
                <w:b/>
                <w:bCs/>
                <w:szCs w:val="21"/>
              </w:rPr>
              <w:t>Cross-vendor defect backlog reduction</w:t>
            </w:r>
          </w:p>
        </w:tc>
        <w:tc>
          <w:tcPr>
            <w:tcW w:w="0" w:type="auto"/>
            <w:shd w:val="clear" w:color="auto" w:fill="FFFFFF" w:themeFill="background1"/>
            <w:vAlign w:val="center"/>
            <w:hideMark/>
          </w:tcPr>
          <w:p w14:paraId="286A4839" w14:textId="77777777" w:rsidR="000764CC" w:rsidRPr="000764CC" w:rsidRDefault="000764CC" w:rsidP="000764CC">
            <w:pPr>
              <w:spacing w:before="60"/>
              <w:jc w:val="center"/>
              <w:rPr>
                <w:rFonts w:cs="Arial"/>
                <w:szCs w:val="21"/>
              </w:rPr>
            </w:pPr>
            <w:r w:rsidRPr="000764CC">
              <w:rPr>
                <w:rFonts w:cs="Arial"/>
                <w:szCs w:val="21"/>
              </w:rPr>
              <w:t>25–35% within Year 1</w:t>
            </w:r>
          </w:p>
        </w:tc>
        <w:tc>
          <w:tcPr>
            <w:tcW w:w="0" w:type="auto"/>
            <w:shd w:val="clear" w:color="auto" w:fill="FFFFFF" w:themeFill="background1"/>
            <w:vAlign w:val="center"/>
            <w:hideMark/>
          </w:tcPr>
          <w:p w14:paraId="106175B2" w14:textId="77777777" w:rsidR="000764CC" w:rsidRPr="000764CC" w:rsidRDefault="000764CC" w:rsidP="000764CC">
            <w:pPr>
              <w:spacing w:before="60"/>
              <w:rPr>
                <w:rFonts w:cs="Arial"/>
                <w:szCs w:val="21"/>
              </w:rPr>
            </w:pPr>
            <w:r w:rsidRPr="000764CC">
              <w:rPr>
                <w:rFonts w:cs="Arial"/>
                <w:szCs w:val="21"/>
              </w:rPr>
              <w:t>Demonstrates improvement in joint issue management and release readiness.</w:t>
            </w:r>
          </w:p>
        </w:tc>
      </w:tr>
      <w:tr w:rsidR="00A740E3" w:rsidRPr="000764CC" w14:paraId="7C370C04" w14:textId="77777777" w:rsidTr="00A06CBD">
        <w:tc>
          <w:tcPr>
            <w:tcW w:w="0" w:type="auto"/>
            <w:shd w:val="clear" w:color="auto" w:fill="FFFFFF" w:themeFill="background1"/>
            <w:vAlign w:val="center"/>
            <w:hideMark/>
          </w:tcPr>
          <w:p w14:paraId="6DBF1A24" w14:textId="77777777" w:rsidR="000764CC" w:rsidRPr="000764CC" w:rsidRDefault="000764CC" w:rsidP="000764CC">
            <w:pPr>
              <w:spacing w:before="60"/>
              <w:rPr>
                <w:rFonts w:cs="Arial"/>
                <w:b/>
                <w:bCs/>
                <w:szCs w:val="21"/>
              </w:rPr>
            </w:pPr>
            <w:r w:rsidRPr="000764CC">
              <w:rPr>
                <w:rFonts w:cs="Arial"/>
                <w:b/>
                <w:bCs/>
                <w:szCs w:val="21"/>
              </w:rPr>
              <w:t>Production defect leakage</w:t>
            </w:r>
          </w:p>
        </w:tc>
        <w:tc>
          <w:tcPr>
            <w:tcW w:w="0" w:type="auto"/>
            <w:shd w:val="clear" w:color="auto" w:fill="FFFFFF" w:themeFill="background1"/>
            <w:vAlign w:val="center"/>
            <w:hideMark/>
          </w:tcPr>
          <w:p w14:paraId="575ACC7D" w14:textId="77777777" w:rsidR="000764CC" w:rsidRPr="000764CC" w:rsidRDefault="000764CC" w:rsidP="000764CC">
            <w:pPr>
              <w:spacing w:before="60"/>
              <w:jc w:val="center"/>
              <w:rPr>
                <w:rFonts w:cs="Arial"/>
                <w:szCs w:val="21"/>
              </w:rPr>
            </w:pPr>
            <w:r w:rsidRPr="000764CC">
              <w:rPr>
                <w:rFonts w:cs="Arial"/>
                <w:szCs w:val="21"/>
              </w:rPr>
              <w:t>&lt; 1%</w:t>
            </w:r>
          </w:p>
        </w:tc>
        <w:tc>
          <w:tcPr>
            <w:tcW w:w="0" w:type="auto"/>
            <w:shd w:val="clear" w:color="auto" w:fill="FFFFFF" w:themeFill="background1"/>
            <w:vAlign w:val="center"/>
            <w:hideMark/>
          </w:tcPr>
          <w:p w14:paraId="5163C986" w14:textId="77777777" w:rsidR="000764CC" w:rsidRPr="000764CC" w:rsidRDefault="000764CC" w:rsidP="000764CC">
            <w:pPr>
              <w:spacing w:before="60"/>
              <w:rPr>
                <w:rFonts w:cs="Arial"/>
                <w:szCs w:val="21"/>
              </w:rPr>
            </w:pPr>
            <w:r w:rsidRPr="000764CC">
              <w:rPr>
                <w:rFonts w:cs="Arial"/>
                <w:szCs w:val="21"/>
              </w:rPr>
              <w:t>Validates QA effectiveness and stability of production releases.</w:t>
            </w:r>
          </w:p>
        </w:tc>
      </w:tr>
      <w:tr w:rsidR="00A740E3" w:rsidRPr="000764CC" w14:paraId="360524D5" w14:textId="77777777" w:rsidTr="00A06CBD">
        <w:tc>
          <w:tcPr>
            <w:tcW w:w="0" w:type="auto"/>
            <w:shd w:val="clear" w:color="auto" w:fill="FFFFFF" w:themeFill="background1"/>
            <w:vAlign w:val="center"/>
            <w:hideMark/>
          </w:tcPr>
          <w:p w14:paraId="66D4FCB2" w14:textId="77777777" w:rsidR="000764CC" w:rsidRPr="000764CC" w:rsidRDefault="000764CC" w:rsidP="000764CC">
            <w:pPr>
              <w:spacing w:before="60"/>
              <w:rPr>
                <w:rFonts w:cs="Arial"/>
                <w:b/>
                <w:bCs/>
                <w:szCs w:val="21"/>
              </w:rPr>
            </w:pPr>
            <w:r w:rsidRPr="000764CC">
              <w:rPr>
                <w:rFonts w:cs="Arial"/>
                <w:b/>
                <w:bCs/>
                <w:szCs w:val="21"/>
              </w:rPr>
              <w:t>Quality Index improvement (YoY)</w:t>
            </w:r>
          </w:p>
        </w:tc>
        <w:tc>
          <w:tcPr>
            <w:tcW w:w="0" w:type="auto"/>
            <w:shd w:val="clear" w:color="auto" w:fill="FFFFFF" w:themeFill="background1"/>
            <w:vAlign w:val="center"/>
            <w:hideMark/>
          </w:tcPr>
          <w:p w14:paraId="13EF33A0" w14:textId="77777777" w:rsidR="000764CC" w:rsidRPr="000764CC" w:rsidRDefault="000764CC" w:rsidP="000764CC">
            <w:pPr>
              <w:spacing w:before="60"/>
              <w:jc w:val="center"/>
              <w:rPr>
                <w:rFonts w:cs="Arial"/>
                <w:szCs w:val="21"/>
              </w:rPr>
            </w:pPr>
            <w:r w:rsidRPr="000764CC">
              <w:rPr>
                <w:rFonts w:cs="Arial"/>
                <w:szCs w:val="21"/>
              </w:rPr>
              <w:t>+15% year-over-year</w:t>
            </w:r>
          </w:p>
        </w:tc>
        <w:tc>
          <w:tcPr>
            <w:tcW w:w="0" w:type="auto"/>
            <w:shd w:val="clear" w:color="auto" w:fill="FFFFFF" w:themeFill="background1"/>
            <w:vAlign w:val="center"/>
            <w:hideMark/>
          </w:tcPr>
          <w:p w14:paraId="5A9C375F" w14:textId="77777777" w:rsidR="000764CC" w:rsidRPr="000764CC" w:rsidRDefault="000764CC" w:rsidP="000764CC">
            <w:pPr>
              <w:spacing w:before="60"/>
              <w:rPr>
                <w:rFonts w:cs="Arial"/>
                <w:szCs w:val="21"/>
              </w:rPr>
            </w:pPr>
            <w:r w:rsidRPr="000764CC">
              <w:rPr>
                <w:rFonts w:cs="Arial"/>
                <w:szCs w:val="21"/>
              </w:rPr>
              <w:t>Measures overall improvement in quality trends and process maturity.</w:t>
            </w:r>
          </w:p>
        </w:tc>
      </w:tr>
      <w:tr w:rsidR="00A740E3" w:rsidRPr="000764CC" w14:paraId="48104AFC" w14:textId="77777777" w:rsidTr="00A06CBD">
        <w:tc>
          <w:tcPr>
            <w:tcW w:w="0" w:type="auto"/>
            <w:shd w:val="clear" w:color="auto" w:fill="FFFFFF" w:themeFill="background1"/>
            <w:vAlign w:val="center"/>
            <w:hideMark/>
          </w:tcPr>
          <w:p w14:paraId="7E62D9BD" w14:textId="77777777" w:rsidR="000764CC" w:rsidRPr="000764CC" w:rsidRDefault="000764CC" w:rsidP="000764CC">
            <w:pPr>
              <w:spacing w:before="60"/>
              <w:rPr>
                <w:rFonts w:cs="Arial"/>
                <w:b/>
                <w:bCs/>
                <w:szCs w:val="21"/>
              </w:rPr>
            </w:pPr>
            <w:r w:rsidRPr="000764CC">
              <w:rPr>
                <w:rFonts w:cs="Arial"/>
                <w:b/>
                <w:bCs/>
                <w:szCs w:val="21"/>
              </w:rPr>
              <w:t>Vendor collaboration satisfaction</w:t>
            </w:r>
          </w:p>
        </w:tc>
        <w:tc>
          <w:tcPr>
            <w:tcW w:w="0" w:type="auto"/>
            <w:shd w:val="clear" w:color="auto" w:fill="FFFFFF" w:themeFill="background1"/>
            <w:vAlign w:val="center"/>
            <w:hideMark/>
          </w:tcPr>
          <w:p w14:paraId="31482A1D" w14:textId="77777777" w:rsidR="000764CC" w:rsidRPr="000764CC" w:rsidRDefault="000764CC" w:rsidP="000764CC">
            <w:pPr>
              <w:spacing w:before="60"/>
              <w:jc w:val="center"/>
              <w:rPr>
                <w:rFonts w:cs="Arial"/>
                <w:szCs w:val="21"/>
              </w:rPr>
            </w:pPr>
            <w:r w:rsidRPr="000764CC">
              <w:rPr>
                <w:rFonts w:cs="Arial"/>
                <w:szCs w:val="21"/>
              </w:rPr>
              <w:t>&gt; 90% positive</w:t>
            </w:r>
          </w:p>
        </w:tc>
        <w:tc>
          <w:tcPr>
            <w:tcW w:w="0" w:type="auto"/>
            <w:shd w:val="clear" w:color="auto" w:fill="FFFFFF" w:themeFill="background1"/>
            <w:vAlign w:val="center"/>
            <w:hideMark/>
          </w:tcPr>
          <w:p w14:paraId="38845727" w14:textId="77777777" w:rsidR="000764CC" w:rsidRPr="000764CC" w:rsidRDefault="000764CC" w:rsidP="000764CC">
            <w:pPr>
              <w:spacing w:before="60"/>
              <w:rPr>
                <w:rFonts w:cs="Arial"/>
                <w:szCs w:val="21"/>
              </w:rPr>
            </w:pPr>
            <w:r w:rsidRPr="000764CC">
              <w:rPr>
                <w:rFonts w:cs="Arial"/>
                <w:szCs w:val="21"/>
              </w:rPr>
              <w:t>Captures stakeholder confidence in QA coordination and communication effectiveness.</w:t>
            </w:r>
          </w:p>
        </w:tc>
      </w:tr>
    </w:tbl>
    <w:p w14:paraId="34197AE4" w14:textId="77777777" w:rsidR="000764CC" w:rsidRPr="000764CC" w:rsidRDefault="000764CC" w:rsidP="00A06CBD">
      <w:pPr>
        <w:spacing w:before="120" w:after="120"/>
        <w:rPr>
          <w:rFonts w:cs="Arial"/>
          <w:color w:val="0D0D0D" w:themeColor="text1" w:themeTint="F2"/>
          <w:szCs w:val="21"/>
        </w:rPr>
      </w:pPr>
      <w:r w:rsidRPr="000764CC">
        <w:rPr>
          <w:rFonts w:cs="Arial"/>
          <w:color w:val="0D0D0D" w:themeColor="text1" w:themeTint="F2"/>
          <w:szCs w:val="21"/>
        </w:rPr>
        <w:t>These indicators are not static; they evolve through continuous improvement cycles and lessons-learned reviews (D-QA-06).</w:t>
      </w:r>
    </w:p>
    <w:p w14:paraId="508C5265" w14:textId="77777777" w:rsidR="000764CC" w:rsidRPr="000764CC" w:rsidRDefault="000764CC" w:rsidP="00A06CBD">
      <w:pPr>
        <w:spacing w:before="120" w:after="120"/>
        <w:rPr>
          <w:rFonts w:cs="Arial"/>
          <w:color w:val="0D0D0D" w:themeColor="text1" w:themeTint="F2"/>
          <w:szCs w:val="21"/>
        </w:rPr>
      </w:pPr>
      <w:r w:rsidRPr="000764CC">
        <w:rPr>
          <w:rFonts w:cs="Arial"/>
          <w:color w:val="0D0D0D" w:themeColor="text1" w:themeTint="F2"/>
          <w:szCs w:val="21"/>
        </w:rPr>
        <w:t xml:space="preserve">Results will be visualized in </w:t>
      </w:r>
      <w:r w:rsidRPr="000764CC">
        <w:rPr>
          <w:rFonts w:cs="Arial"/>
          <w:b/>
          <w:bCs/>
          <w:color w:val="0D0D0D" w:themeColor="text1" w:themeTint="F2"/>
          <w:szCs w:val="21"/>
        </w:rPr>
        <w:t>dashboards and monthly reports</w:t>
      </w:r>
      <w:r w:rsidRPr="000764CC">
        <w:rPr>
          <w:rFonts w:cs="Arial"/>
          <w:color w:val="0D0D0D" w:themeColor="text1" w:themeTint="F2"/>
          <w:szCs w:val="21"/>
        </w:rPr>
        <w:t>, giving the Consortium leadership real-time insight into QA performance and cross-vendor collaboration trends.</w:t>
      </w:r>
    </w:p>
    <w:p w14:paraId="3241D72A" w14:textId="77777777" w:rsidR="000764CC" w:rsidRPr="000764CC" w:rsidRDefault="000764CC" w:rsidP="00A06CBD">
      <w:pPr>
        <w:spacing w:before="120" w:after="120"/>
        <w:rPr>
          <w:rFonts w:cs="Arial"/>
          <w:b/>
          <w:bCs/>
          <w:color w:val="0D0D0D" w:themeColor="text1" w:themeTint="F2"/>
          <w:szCs w:val="21"/>
        </w:rPr>
      </w:pPr>
      <w:r w:rsidRPr="000764CC">
        <w:rPr>
          <w:rFonts w:cs="Arial"/>
          <w:b/>
          <w:bCs/>
          <w:color w:val="0D0D0D" w:themeColor="text1" w:themeTint="F2"/>
          <w:szCs w:val="21"/>
        </w:rPr>
        <w:t>Interpreting Success</w:t>
      </w:r>
    </w:p>
    <w:p w14:paraId="22E8445F" w14:textId="77777777" w:rsidR="000764CC" w:rsidRPr="000764CC" w:rsidRDefault="000764CC" w:rsidP="00A06CBD">
      <w:pPr>
        <w:spacing w:before="120" w:after="120"/>
        <w:rPr>
          <w:rFonts w:cs="Arial"/>
          <w:color w:val="0D0D0D" w:themeColor="text1" w:themeTint="F2"/>
          <w:szCs w:val="21"/>
        </w:rPr>
      </w:pPr>
      <w:r w:rsidRPr="000764CC">
        <w:rPr>
          <w:rFonts w:cs="Arial"/>
          <w:color w:val="0D0D0D" w:themeColor="text1" w:themeTint="F2"/>
          <w:szCs w:val="21"/>
        </w:rPr>
        <w:t xml:space="preserve">Success for IBM and the Consortium is defined not only by low defect counts but by </w:t>
      </w:r>
      <w:r w:rsidRPr="000764CC">
        <w:rPr>
          <w:rFonts w:cs="Arial"/>
          <w:b/>
          <w:bCs/>
          <w:color w:val="0D0D0D" w:themeColor="text1" w:themeTint="F2"/>
          <w:szCs w:val="21"/>
        </w:rPr>
        <w:t>high transparency, fast response, and measurable improvement</w:t>
      </w:r>
      <w:r w:rsidRPr="000764CC">
        <w:rPr>
          <w:rFonts w:cs="Arial"/>
          <w:color w:val="0D0D0D" w:themeColor="text1" w:themeTint="F2"/>
          <w:szCs w:val="21"/>
        </w:rPr>
        <w:t xml:space="preserve"> over time.</w:t>
      </w:r>
    </w:p>
    <w:p w14:paraId="4393A962" w14:textId="77777777" w:rsidR="000764CC" w:rsidRPr="000764CC" w:rsidRDefault="000764CC" w:rsidP="00A06CBD">
      <w:pPr>
        <w:spacing w:before="120" w:after="120"/>
        <w:rPr>
          <w:rFonts w:cs="Arial"/>
          <w:color w:val="0D0D0D" w:themeColor="text1" w:themeTint="F2"/>
          <w:szCs w:val="21"/>
        </w:rPr>
      </w:pPr>
      <w:r w:rsidRPr="000764CC">
        <w:rPr>
          <w:rFonts w:cs="Arial"/>
          <w:color w:val="0D0D0D" w:themeColor="text1" w:themeTint="F2"/>
          <w:szCs w:val="21"/>
        </w:rPr>
        <w:t>Each metric connects directly to CalSAWS’ broader objectives:</w:t>
      </w:r>
    </w:p>
    <w:p w14:paraId="12D5E946"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Quality</w:t>
      </w:r>
      <w:r w:rsidRPr="000764CC">
        <w:rPr>
          <w:rFonts w:cs="Arial"/>
          <w:szCs w:val="21"/>
        </w:rPr>
        <w:t xml:space="preserve"> → reliable, error-free benefit delivery.</w:t>
      </w:r>
    </w:p>
    <w:p w14:paraId="3362DFA6"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Efficiency</w:t>
      </w:r>
      <w:r w:rsidRPr="000764CC">
        <w:rPr>
          <w:rFonts w:cs="Arial"/>
          <w:szCs w:val="21"/>
        </w:rPr>
        <w:t xml:space="preserve"> → faster, more predictable release cycles.</w:t>
      </w:r>
    </w:p>
    <w:p w14:paraId="732AA623"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Collaboration</w:t>
      </w:r>
      <w:r w:rsidRPr="000764CC">
        <w:rPr>
          <w:rFonts w:cs="Arial"/>
          <w:szCs w:val="21"/>
        </w:rPr>
        <w:t xml:space="preserve"> → unified, “One Team CalSAWS” execution.</w:t>
      </w:r>
    </w:p>
    <w:p w14:paraId="46348DD1"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Confidence</w:t>
      </w:r>
      <w:r w:rsidRPr="000764CC">
        <w:rPr>
          <w:rFonts w:cs="Arial"/>
          <w:szCs w:val="21"/>
        </w:rPr>
        <w:t xml:space="preserve"> → data-driven governance and public trust.</w:t>
      </w:r>
    </w:p>
    <w:p w14:paraId="69316390" w14:textId="77777777" w:rsidR="000764CC" w:rsidRPr="000764CC" w:rsidRDefault="000764CC" w:rsidP="004E2111">
      <w:pPr>
        <w:spacing w:before="120" w:after="120"/>
        <w:ind w:left="360"/>
        <w:rPr>
          <w:rFonts w:cs="Arial"/>
          <w:color w:val="0D0D0D" w:themeColor="text1" w:themeTint="F2"/>
          <w:szCs w:val="21"/>
        </w:rPr>
      </w:pPr>
      <w:r w:rsidRPr="000764CC">
        <w:rPr>
          <w:rFonts w:cs="Arial"/>
          <w:color w:val="0D0D0D" w:themeColor="text1" w:themeTint="F2"/>
          <w:szCs w:val="21"/>
        </w:rPr>
        <w:lastRenderedPageBreak/>
        <w:t xml:space="preserve">Through this approach, IBM ensures the Consortium can </w:t>
      </w:r>
      <w:r w:rsidRPr="000764CC">
        <w:rPr>
          <w:rFonts w:cs="Arial"/>
          <w:b/>
          <w:bCs/>
          <w:color w:val="0D0D0D" w:themeColor="text1" w:themeTint="F2"/>
          <w:szCs w:val="21"/>
        </w:rPr>
        <w:t>quantify progress</w:t>
      </w:r>
      <w:r w:rsidRPr="000764CC">
        <w:rPr>
          <w:rFonts w:cs="Arial"/>
          <w:color w:val="0D0D0D" w:themeColor="text1" w:themeTint="F2"/>
          <w:szCs w:val="21"/>
        </w:rPr>
        <w:t xml:space="preserve">, </w:t>
      </w:r>
      <w:r w:rsidRPr="000764CC">
        <w:rPr>
          <w:rFonts w:cs="Arial"/>
          <w:b/>
          <w:bCs/>
          <w:color w:val="0D0D0D" w:themeColor="text1" w:themeTint="F2"/>
          <w:szCs w:val="21"/>
        </w:rPr>
        <w:t>validate performance</w:t>
      </w:r>
      <w:r w:rsidRPr="000764CC">
        <w:rPr>
          <w:rFonts w:cs="Arial"/>
          <w:color w:val="0D0D0D" w:themeColor="text1" w:themeTint="F2"/>
          <w:szCs w:val="21"/>
        </w:rPr>
        <w:t xml:space="preserve">, and </w:t>
      </w:r>
      <w:r w:rsidRPr="000764CC">
        <w:rPr>
          <w:rFonts w:cs="Arial"/>
          <w:b/>
          <w:bCs/>
          <w:color w:val="0D0D0D" w:themeColor="text1" w:themeTint="F2"/>
          <w:szCs w:val="21"/>
        </w:rPr>
        <w:t>continuously refine</w:t>
      </w:r>
      <w:r w:rsidRPr="000764CC">
        <w:rPr>
          <w:rFonts w:cs="Arial"/>
          <w:color w:val="0D0D0D" w:themeColor="text1" w:themeTint="F2"/>
          <w:szCs w:val="21"/>
        </w:rPr>
        <w:t xml:space="preserve"> how QA strengthens outcomes across every CalSAWS release.</w:t>
      </w:r>
    </w:p>
    <w:p w14:paraId="26C586F2" w14:textId="223BF974" w:rsidR="000764CC" w:rsidRPr="000764CC" w:rsidRDefault="000764CC" w:rsidP="004E2111">
      <w:pPr>
        <w:spacing w:before="120" w:after="120"/>
        <w:ind w:left="360"/>
        <w:rPr>
          <w:rFonts w:cs="Arial"/>
          <w:b/>
          <w:bCs/>
          <w:color w:val="0D0D0D" w:themeColor="text1" w:themeTint="F2"/>
          <w:szCs w:val="21"/>
        </w:rPr>
      </w:pPr>
      <w:r w:rsidRPr="000764CC">
        <w:rPr>
          <w:rFonts w:cs="Arial"/>
          <w:b/>
          <w:bCs/>
          <w:color w:val="0D0D0D" w:themeColor="text1" w:themeTint="F2"/>
          <w:szCs w:val="21"/>
        </w:rPr>
        <w:t>Examples of Success</w:t>
      </w:r>
    </w:p>
    <w:p w14:paraId="02D6C085" w14:textId="77777777" w:rsidR="000764CC" w:rsidRPr="000764CC" w:rsidRDefault="000764CC" w:rsidP="004E2111">
      <w:pPr>
        <w:spacing w:before="120" w:after="120"/>
        <w:ind w:left="360"/>
        <w:rPr>
          <w:rFonts w:cs="Arial"/>
          <w:color w:val="0D0D0D" w:themeColor="text1" w:themeTint="F2"/>
          <w:szCs w:val="21"/>
        </w:rPr>
      </w:pPr>
      <w:r w:rsidRPr="000764CC">
        <w:rPr>
          <w:rFonts w:cs="Arial"/>
          <w:color w:val="0D0D0D" w:themeColor="text1" w:themeTint="F2"/>
          <w:szCs w:val="21"/>
        </w:rPr>
        <w:t xml:space="preserve">IBM brings a deep record of success delivering </w:t>
      </w:r>
      <w:r w:rsidRPr="000764CC">
        <w:rPr>
          <w:rFonts w:cs="Arial"/>
          <w:b/>
          <w:bCs/>
          <w:color w:val="0D0D0D" w:themeColor="text1" w:themeTint="F2"/>
          <w:szCs w:val="21"/>
        </w:rPr>
        <w:t>independent QA in complex, multi-contractor ecosystems</w:t>
      </w:r>
      <w:r w:rsidRPr="000764CC">
        <w:rPr>
          <w:rFonts w:cs="Arial"/>
          <w:color w:val="0D0D0D" w:themeColor="text1" w:themeTint="F2"/>
          <w:szCs w:val="21"/>
        </w:rPr>
        <w:t>—including large state health and human services programs comparable in size and scope to CalSAWS. In each engagement, IBM balanced independence with collaboration, ensuring quality oversight that strengthened—not disrupted—cross-vendor operations.</w:t>
      </w:r>
    </w:p>
    <w:p w14:paraId="03A45030" w14:textId="77777777" w:rsidR="000764CC" w:rsidRPr="000764CC" w:rsidRDefault="000764CC" w:rsidP="00A06CBD">
      <w:pPr>
        <w:spacing w:before="120" w:after="120"/>
        <w:rPr>
          <w:rFonts w:cs="Arial"/>
          <w:b/>
          <w:bCs/>
          <w:color w:val="0D0D0D" w:themeColor="text1" w:themeTint="F2"/>
          <w:szCs w:val="21"/>
        </w:rPr>
      </w:pPr>
      <w:r w:rsidRPr="000764CC">
        <w:rPr>
          <w:rFonts w:cs="Arial"/>
          <w:b/>
          <w:bCs/>
          <w:color w:val="0D0D0D" w:themeColor="text1" w:themeTint="F2"/>
          <w:szCs w:val="21"/>
        </w:rPr>
        <w:t>California Medicaid Management Information System (CA-MMIS)</w:t>
      </w:r>
    </w:p>
    <w:p w14:paraId="51A4F8D0" w14:textId="77777777" w:rsidR="000764CC" w:rsidRPr="000764CC" w:rsidRDefault="000764CC" w:rsidP="004E2111">
      <w:pPr>
        <w:spacing w:before="120" w:after="120"/>
        <w:ind w:left="360"/>
        <w:rPr>
          <w:rFonts w:cs="Arial"/>
          <w:color w:val="0D0D0D" w:themeColor="text1" w:themeTint="F2"/>
          <w:szCs w:val="21"/>
        </w:rPr>
      </w:pPr>
      <w:r w:rsidRPr="000764CC">
        <w:rPr>
          <w:rFonts w:cs="Arial"/>
          <w:color w:val="0D0D0D" w:themeColor="text1" w:themeTint="F2"/>
          <w:szCs w:val="21"/>
        </w:rPr>
        <w:t xml:space="preserve">IBM coordinated QA across </w:t>
      </w:r>
      <w:r w:rsidRPr="000764CC">
        <w:rPr>
          <w:rFonts w:cs="Arial"/>
          <w:b/>
          <w:bCs/>
          <w:color w:val="0D0D0D" w:themeColor="text1" w:themeTint="F2"/>
          <w:szCs w:val="21"/>
        </w:rPr>
        <w:t>three system integrators</w:t>
      </w:r>
      <w:r w:rsidRPr="000764CC">
        <w:rPr>
          <w:rFonts w:cs="Arial"/>
          <w:color w:val="0D0D0D" w:themeColor="text1" w:themeTint="F2"/>
          <w:szCs w:val="21"/>
        </w:rPr>
        <w:t xml:space="preserve"> under the Department of Health Care Services’ modernization initiative.</w:t>
      </w:r>
    </w:p>
    <w:p w14:paraId="40EA16F3"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Established a unified </w:t>
      </w:r>
      <w:r w:rsidRPr="000764CC">
        <w:rPr>
          <w:rFonts w:cs="Arial"/>
          <w:b/>
          <w:bCs/>
          <w:szCs w:val="21"/>
        </w:rPr>
        <w:t>defect triage forum</w:t>
      </w:r>
      <w:r w:rsidRPr="000764CC">
        <w:rPr>
          <w:rFonts w:cs="Arial"/>
          <w:szCs w:val="21"/>
        </w:rPr>
        <w:t xml:space="preserve"> and </w:t>
      </w:r>
      <w:r w:rsidRPr="000764CC">
        <w:rPr>
          <w:rFonts w:cs="Arial"/>
          <w:b/>
          <w:bCs/>
          <w:szCs w:val="21"/>
        </w:rPr>
        <w:t>shared Quality Index dashboard</w:t>
      </w:r>
      <w:r w:rsidRPr="000764CC">
        <w:rPr>
          <w:rFonts w:cs="Arial"/>
          <w:szCs w:val="21"/>
        </w:rPr>
        <w:t xml:space="preserve"> visible to all vendors and state leadership.</w:t>
      </w:r>
    </w:p>
    <w:p w14:paraId="6F7F3933"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Reduced </w:t>
      </w:r>
      <w:r w:rsidRPr="000764CC">
        <w:rPr>
          <w:rFonts w:cs="Arial"/>
          <w:b/>
          <w:bCs/>
          <w:szCs w:val="21"/>
        </w:rPr>
        <w:t>cross-vendor issue resolution time by 30%</w:t>
      </w:r>
      <w:r w:rsidRPr="000764CC">
        <w:rPr>
          <w:rFonts w:cs="Arial"/>
          <w:szCs w:val="21"/>
        </w:rPr>
        <w:t>, improving predictability and collaboration.</w:t>
      </w:r>
    </w:p>
    <w:p w14:paraId="7EC239F5"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Improved defect containment to </w:t>
      </w:r>
      <w:r w:rsidRPr="000764CC">
        <w:rPr>
          <w:rFonts w:cs="Arial"/>
          <w:b/>
          <w:bCs/>
          <w:szCs w:val="21"/>
        </w:rPr>
        <w:t>under 1% post-release leakage</w:t>
      </w:r>
      <w:r w:rsidRPr="000764CC">
        <w:rPr>
          <w:rFonts w:cs="Arial"/>
          <w:szCs w:val="21"/>
        </w:rPr>
        <w:t>, while maintaining on-time compliance with federal mandates.</w:t>
      </w:r>
    </w:p>
    <w:p w14:paraId="7C366383" w14:textId="77777777" w:rsidR="000764CC" w:rsidRPr="000764CC" w:rsidRDefault="000764CC" w:rsidP="004E2111">
      <w:pPr>
        <w:spacing w:before="120" w:after="120"/>
        <w:ind w:left="360"/>
        <w:rPr>
          <w:rFonts w:cs="Arial"/>
          <w:color w:val="0D0D0D" w:themeColor="text1" w:themeTint="F2"/>
          <w:szCs w:val="21"/>
        </w:rPr>
      </w:pPr>
      <w:r w:rsidRPr="000764CC">
        <w:rPr>
          <w:rFonts w:cs="Arial"/>
          <w:b/>
          <w:bCs/>
          <w:color w:val="0D0D0D" w:themeColor="text1" w:themeTint="F2"/>
          <w:szCs w:val="21"/>
        </w:rPr>
        <w:t>Relevance to CalSAWS:</w:t>
      </w:r>
      <w:r w:rsidRPr="000764CC">
        <w:rPr>
          <w:rFonts w:cs="Arial"/>
          <w:color w:val="0D0D0D" w:themeColor="text1" w:themeTint="F2"/>
          <w:szCs w:val="21"/>
        </w:rPr>
        <w:t xml:space="preserve"> Demonstrates IBM’s experience navigating </w:t>
      </w:r>
      <w:r w:rsidRPr="000764CC">
        <w:rPr>
          <w:rFonts w:cs="Arial"/>
          <w:b/>
          <w:bCs/>
          <w:color w:val="0D0D0D" w:themeColor="text1" w:themeTint="F2"/>
          <w:szCs w:val="21"/>
        </w:rPr>
        <w:t>California governance structures</w:t>
      </w:r>
      <w:r w:rsidRPr="000764CC">
        <w:rPr>
          <w:rFonts w:cs="Arial"/>
          <w:color w:val="0D0D0D" w:themeColor="text1" w:themeTint="F2"/>
          <w:szCs w:val="21"/>
        </w:rPr>
        <w:t xml:space="preserve"> and managing QA across multiple prime contractors with overlapping scopes and dependencies.</w:t>
      </w:r>
    </w:p>
    <w:p w14:paraId="4D948E01" w14:textId="77777777" w:rsidR="000764CC" w:rsidRPr="000764CC" w:rsidRDefault="000764CC" w:rsidP="00A06CBD">
      <w:pPr>
        <w:spacing w:before="120" w:after="120"/>
        <w:rPr>
          <w:rFonts w:cs="Arial"/>
          <w:b/>
          <w:bCs/>
          <w:color w:val="0D0D0D" w:themeColor="text1" w:themeTint="F2"/>
          <w:szCs w:val="21"/>
        </w:rPr>
      </w:pPr>
      <w:r w:rsidRPr="000764CC">
        <w:rPr>
          <w:rFonts w:cs="Arial"/>
          <w:b/>
          <w:bCs/>
          <w:color w:val="0D0D0D" w:themeColor="text1" w:themeTint="F2"/>
          <w:szCs w:val="21"/>
        </w:rPr>
        <w:t>CWS-CARES (California)</w:t>
      </w:r>
    </w:p>
    <w:p w14:paraId="5718881D" w14:textId="77777777" w:rsidR="000764CC" w:rsidRPr="000764CC" w:rsidRDefault="000764CC" w:rsidP="004E2111">
      <w:pPr>
        <w:spacing w:before="120" w:after="120"/>
        <w:ind w:left="360"/>
        <w:rPr>
          <w:rFonts w:cs="Arial"/>
          <w:color w:val="0D0D0D" w:themeColor="text1" w:themeTint="F2"/>
          <w:szCs w:val="21"/>
        </w:rPr>
      </w:pPr>
      <w:r w:rsidRPr="000764CC">
        <w:rPr>
          <w:rFonts w:cs="Arial"/>
          <w:color w:val="0D0D0D" w:themeColor="text1" w:themeTint="F2"/>
          <w:szCs w:val="21"/>
        </w:rPr>
        <w:t>Within California’s Child Welfare Digital Services (CWDS) environment, IBM serves as an independent QA partner under PMO governance involving multiple vendors and counties.</w:t>
      </w:r>
    </w:p>
    <w:p w14:paraId="632AB2E0"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Implemented a </w:t>
      </w:r>
      <w:r w:rsidRPr="000764CC">
        <w:rPr>
          <w:rFonts w:cs="Arial"/>
          <w:b/>
          <w:bCs/>
          <w:szCs w:val="21"/>
        </w:rPr>
        <w:t>RACI-based QA framework</w:t>
      </w:r>
      <w:r w:rsidRPr="000764CC">
        <w:rPr>
          <w:rFonts w:cs="Arial"/>
          <w:szCs w:val="21"/>
        </w:rPr>
        <w:t xml:space="preserve"> to clarify ownership across development and infrastructure teams.</w:t>
      </w:r>
    </w:p>
    <w:p w14:paraId="781D1C41"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Drove </w:t>
      </w:r>
      <w:r w:rsidRPr="000764CC">
        <w:rPr>
          <w:rFonts w:cs="Arial"/>
          <w:b/>
          <w:bCs/>
          <w:szCs w:val="21"/>
        </w:rPr>
        <w:t>20% faster release readiness</w:t>
      </w:r>
      <w:r w:rsidRPr="000764CC">
        <w:rPr>
          <w:rFonts w:cs="Arial"/>
          <w:szCs w:val="21"/>
        </w:rPr>
        <w:t xml:space="preserve"> by integrating QA checkpoints into agile sprints and vendor test cycles.</w:t>
      </w:r>
    </w:p>
    <w:p w14:paraId="0FD1E480"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Enhanced county user participation in UAT through transparent reporting and early feedback loops.</w:t>
      </w:r>
    </w:p>
    <w:p w14:paraId="0237B1C9" w14:textId="77777777" w:rsidR="000764CC" w:rsidRPr="000764CC" w:rsidRDefault="000764CC" w:rsidP="00A06CBD">
      <w:pPr>
        <w:spacing w:before="120" w:after="120"/>
        <w:ind w:left="360"/>
        <w:rPr>
          <w:rFonts w:cs="Arial"/>
          <w:color w:val="0D0D0D" w:themeColor="text1" w:themeTint="F2"/>
          <w:szCs w:val="21"/>
        </w:rPr>
      </w:pPr>
      <w:r w:rsidRPr="000764CC">
        <w:rPr>
          <w:rFonts w:cs="Arial"/>
          <w:b/>
          <w:bCs/>
          <w:color w:val="0D0D0D" w:themeColor="text1" w:themeTint="F2"/>
          <w:szCs w:val="21"/>
        </w:rPr>
        <w:t>Relevance to CalSAWS:</w:t>
      </w:r>
      <w:r w:rsidRPr="000764CC">
        <w:rPr>
          <w:rFonts w:cs="Arial"/>
          <w:color w:val="0D0D0D" w:themeColor="text1" w:themeTint="F2"/>
          <w:szCs w:val="21"/>
        </w:rPr>
        <w:t xml:space="preserve"> Mirrors CalSAWS’ county-driven model, showcasing IBM’s ability to align QA oversight with </w:t>
      </w:r>
      <w:r w:rsidRPr="000764CC">
        <w:rPr>
          <w:rFonts w:cs="Arial"/>
          <w:b/>
          <w:bCs/>
          <w:color w:val="0D0D0D" w:themeColor="text1" w:themeTint="F2"/>
          <w:szCs w:val="21"/>
        </w:rPr>
        <w:t>county engagement and PMO coordination</w:t>
      </w:r>
      <w:r w:rsidRPr="000764CC">
        <w:rPr>
          <w:rFonts w:cs="Arial"/>
          <w:color w:val="0D0D0D" w:themeColor="text1" w:themeTint="F2"/>
          <w:szCs w:val="21"/>
        </w:rPr>
        <w:t>.</w:t>
      </w:r>
    </w:p>
    <w:p w14:paraId="2DAC10BC" w14:textId="77777777" w:rsidR="000764CC" w:rsidRPr="000764CC" w:rsidRDefault="000764CC" w:rsidP="00A06CBD">
      <w:pPr>
        <w:spacing w:before="120" w:after="120"/>
        <w:rPr>
          <w:rFonts w:cs="Arial"/>
          <w:b/>
          <w:bCs/>
          <w:color w:val="0D0D0D" w:themeColor="text1" w:themeTint="F2"/>
          <w:szCs w:val="21"/>
        </w:rPr>
      </w:pPr>
      <w:r w:rsidRPr="000764CC">
        <w:rPr>
          <w:rFonts w:cs="Arial"/>
          <w:b/>
          <w:bCs/>
          <w:color w:val="0D0D0D" w:themeColor="text1" w:themeTint="F2"/>
          <w:szCs w:val="21"/>
        </w:rPr>
        <w:t>Arizona Department of Economic Security (DES)</w:t>
      </w:r>
    </w:p>
    <w:p w14:paraId="3D0AD64A" w14:textId="77777777" w:rsidR="000764CC" w:rsidRPr="000764CC" w:rsidRDefault="000764CC" w:rsidP="00A06CBD">
      <w:pPr>
        <w:spacing w:before="120" w:after="120"/>
        <w:ind w:left="360"/>
        <w:rPr>
          <w:rFonts w:cs="Arial"/>
          <w:color w:val="0D0D0D" w:themeColor="text1" w:themeTint="F2"/>
          <w:szCs w:val="21"/>
        </w:rPr>
      </w:pPr>
      <w:r w:rsidRPr="000764CC">
        <w:rPr>
          <w:rFonts w:cs="Arial"/>
          <w:color w:val="0D0D0D" w:themeColor="text1" w:themeTint="F2"/>
          <w:szCs w:val="21"/>
        </w:rPr>
        <w:t>During a multi-vendor cloud migration, IBM led QA across contractors responsible for infrastructure, application modernization, and integration.</w:t>
      </w:r>
    </w:p>
    <w:p w14:paraId="63CBA521"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Integrated </w:t>
      </w:r>
      <w:r w:rsidRPr="000764CC">
        <w:rPr>
          <w:rFonts w:cs="Arial"/>
          <w:b/>
          <w:bCs/>
          <w:szCs w:val="21"/>
        </w:rPr>
        <w:t>cross-vendor QA dashboards</w:t>
      </w:r>
      <w:r w:rsidRPr="000764CC">
        <w:rPr>
          <w:rFonts w:cs="Arial"/>
          <w:szCs w:val="21"/>
        </w:rPr>
        <w:t xml:space="preserve"> and performance analytics to track testing efficiency in real time.</w:t>
      </w:r>
    </w:p>
    <w:p w14:paraId="168AD16F"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Improved</w:t>
      </w:r>
      <w:r w:rsidRPr="000764CC">
        <w:rPr>
          <w:rFonts w:cs="Arial"/>
          <w:b/>
          <w:bCs/>
          <w:szCs w:val="21"/>
        </w:rPr>
        <w:t xml:space="preserve"> regression efficiency by 25% </w:t>
      </w:r>
      <w:r w:rsidRPr="000764CC">
        <w:rPr>
          <w:rFonts w:cs="Arial"/>
          <w:szCs w:val="21"/>
        </w:rPr>
        <w:t xml:space="preserve">and reduced </w:t>
      </w:r>
      <w:r w:rsidRPr="000764CC">
        <w:rPr>
          <w:rFonts w:cs="Arial"/>
          <w:b/>
          <w:bCs/>
          <w:szCs w:val="21"/>
        </w:rPr>
        <w:t>defect leakage to below 1%.</w:t>
      </w:r>
    </w:p>
    <w:p w14:paraId="66915F1F"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lastRenderedPageBreak/>
        <w:t>Established joint post-release reviews to drive shared accountability for issue resolution.</w:t>
      </w:r>
    </w:p>
    <w:p w14:paraId="71FB1342" w14:textId="77777777" w:rsidR="000764CC" w:rsidRPr="000764CC" w:rsidRDefault="000764CC" w:rsidP="00A06CBD">
      <w:pPr>
        <w:spacing w:before="120" w:after="120"/>
        <w:ind w:left="360"/>
        <w:rPr>
          <w:rFonts w:cs="Arial"/>
          <w:color w:val="0D0D0D" w:themeColor="text1" w:themeTint="F2"/>
          <w:szCs w:val="21"/>
        </w:rPr>
      </w:pPr>
      <w:r w:rsidRPr="000764CC">
        <w:rPr>
          <w:rFonts w:cs="Arial"/>
          <w:b/>
          <w:bCs/>
          <w:color w:val="0D0D0D" w:themeColor="text1" w:themeTint="F2"/>
          <w:szCs w:val="21"/>
        </w:rPr>
        <w:t>Relevance to CalSAWS:</w:t>
      </w:r>
      <w:r w:rsidRPr="000764CC">
        <w:rPr>
          <w:rFonts w:cs="Arial"/>
          <w:color w:val="0D0D0D" w:themeColor="text1" w:themeTint="F2"/>
          <w:szCs w:val="21"/>
        </w:rPr>
        <w:t xml:space="preserve"> Highlights IBM’s proven method for </w:t>
      </w:r>
      <w:r w:rsidRPr="000764CC">
        <w:rPr>
          <w:rFonts w:cs="Arial"/>
          <w:b/>
          <w:bCs/>
          <w:color w:val="0D0D0D" w:themeColor="text1" w:themeTint="F2"/>
          <w:szCs w:val="21"/>
        </w:rPr>
        <w:t>managing QA during modernization efforts</w:t>
      </w:r>
      <w:r w:rsidRPr="000764CC">
        <w:rPr>
          <w:rFonts w:cs="Arial"/>
          <w:color w:val="0D0D0D" w:themeColor="text1" w:themeTint="F2"/>
          <w:szCs w:val="21"/>
        </w:rPr>
        <w:t xml:space="preserve"> and aligning multiple vendors under one governance framework.</w:t>
      </w:r>
    </w:p>
    <w:p w14:paraId="481EB380" w14:textId="77777777" w:rsidR="000764CC" w:rsidRPr="000764CC" w:rsidRDefault="000764CC" w:rsidP="00A06CBD">
      <w:pPr>
        <w:spacing w:before="120" w:after="120"/>
        <w:rPr>
          <w:rFonts w:cs="Arial"/>
          <w:b/>
          <w:bCs/>
          <w:color w:val="0D0D0D" w:themeColor="text1" w:themeTint="F2"/>
          <w:szCs w:val="21"/>
        </w:rPr>
      </w:pPr>
      <w:r w:rsidRPr="000764CC">
        <w:rPr>
          <w:rFonts w:cs="Arial"/>
          <w:b/>
          <w:bCs/>
          <w:color w:val="0D0D0D" w:themeColor="text1" w:themeTint="F2"/>
          <w:szCs w:val="21"/>
        </w:rPr>
        <w:t>Florida Department of Children and Families (DCF)</w:t>
      </w:r>
    </w:p>
    <w:p w14:paraId="5CD91E53" w14:textId="77777777" w:rsidR="000764CC" w:rsidRPr="000764CC" w:rsidRDefault="000764CC" w:rsidP="00A06CBD">
      <w:pPr>
        <w:spacing w:before="120" w:after="120"/>
        <w:ind w:left="360"/>
        <w:rPr>
          <w:rFonts w:cs="Arial"/>
          <w:color w:val="0D0D0D" w:themeColor="text1" w:themeTint="F2"/>
          <w:szCs w:val="21"/>
        </w:rPr>
      </w:pPr>
      <w:r w:rsidRPr="000764CC">
        <w:rPr>
          <w:rFonts w:cs="Arial"/>
          <w:color w:val="0D0D0D" w:themeColor="text1" w:themeTint="F2"/>
          <w:szCs w:val="21"/>
        </w:rPr>
        <w:t xml:space="preserve">As QA partner supporting the state’s benefits eligibility modernization, IBM worked between </w:t>
      </w:r>
      <w:r w:rsidRPr="000764CC">
        <w:rPr>
          <w:rFonts w:cs="Arial"/>
          <w:b/>
          <w:bCs/>
          <w:color w:val="0D0D0D" w:themeColor="text1" w:themeTint="F2"/>
          <w:szCs w:val="21"/>
        </w:rPr>
        <w:t>state, county agencies, and multiple vendor teams</w:t>
      </w:r>
      <w:r w:rsidRPr="000764CC">
        <w:rPr>
          <w:rFonts w:cs="Arial"/>
          <w:color w:val="0D0D0D" w:themeColor="text1" w:themeTint="F2"/>
          <w:szCs w:val="21"/>
        </w:rPr>
        <w:t>.</w:t>
      </w:r>
    </w:p>
    <w:p w14:paraId="106D346A"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Introduced a </w:t>
      </w:r>
      <w:r w:rsidRPr="000764CC">
        <w:rPr>
          <w:rFonts w:cs="Arial"/>
          <w:b/>
          <w:bCs/>
          <w:szCs w:val="21"/>
        </w:rPr>
        <w:t>common testing framework and governance cadence</w:t>
      </w:r>
      <w:r w:rsidRPr="000764CC">
        <w:rPr>
          <w:rFonts w:cs="Arial"/>
          <w:szCs w:val="21"/>
        </w:rPr>
        <w:t>, improving release coordination across all stakeholders.</w:t>
      </w:r>
    </w:p>
    <w:p w14:paraId="48808D51"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Achieved a </w:t>
      </w:r>
      <w:r w:rsidRPr="000764CC">
        <w:rPr>
          <w:rFonts w:cs="Arial"/>
          <w:b/>
          <w:bCs/>
          <w:szCs w:val="21"/>
        </w:rPr>
        <w:t>40% reduction in rework</w:t>
      </w:r>
      <w:r w:rsidRPr="000764CC">
        <w:rPr>
          <w:rFonts w:cs="Arial"/>
          <w:szCs w:val="21"/>
        </w:rPr>
        <w:t xml:space="preserve"> and measurable improvement in release predictability.</w:t>
      </w:r>
    </w:p>
    <w:p w14:paraId="06BA28DB"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Strengthened inter-agency trust through transparent reporting and early warning dashboards.</w:t>
      </w:r>
    </w:p>
    <w:p w14:paraId="2EBE1787" w14:textId="77777777" w:rsidR="000764CC" w:rsidRPr="000764CC" w:rsidRDefault="000764CC" w:rsidP="00A06CBD">
      <w:pPr>
        <w:spacing w:before="120" w:after="120"/>
        <w:ind w:left="360"/>
        <w:rPr>
          <w:rFonts w:cs="Arial"/>
          <w:color w:val="0D0D0D" w:themeColor="text1" w:themeTint="F2"/>
          <w:szCs w:val="21"/>
        </w:rPr>
      </w:pPr>
      <w:r w:rsidRPr="000764CC">
        <w:rPr>
          <w:rFonts w:cs="Arial"/>
          <w:b/>
          <w:bCs/>
          <w:color w:val="0D0D0D" w:themeColor="text1" w:themeTint="F2"/>
          <w:szCs w:val="21"/>
        </w:rPr>
        <w:t>Relevance to CalSAWS:</w:t>
      </w:r>
      <w:r w:rsidRPr="000764CC">
        <w:rPr>
          <w:rFonts w:cs="Arial"/>
          <w:color w:val="0D0D0D" w:themeColor="text1" w:themeTint="F2"/>
          <w:szCs w:val="21"/>
        </w:rPr>
        <w:t xml:space="preserve"> Demonstrates IBM’s ability to sustain </w:t>
      </w:r>
      <w:r w:rsidRPr="000764CC">
        <w:rPr>
          <w:rFonts w:cs="Arial"/>
          <w:b/>
          <w:bCs/>
          <w:color w:val="0D0D0D" w:themeColor="text1" w:themeTint="F2"/>
          <w:szCs w:val="21"/>
        </w:rPr>
        <w:t>interagency and vendor collaboration</w:t>
      </w:r>
      <w:r w:rsidRPr="000764CC">
        <w:rPr>
          <w:rFonts w:cs="Arial"/>
          <w:color w:val="0D0D0D" w:themeColor="text1" w:themeTint="F2"/>
          <w:szCs w:val="21"/>
        </w:rPr>
        <w:t xml:space="preserve"> across a statewide eligibility platform serving millions of citizens.</w:t>
      </w:r>
    </w:p>
    <w:p w14:paraId="4D9951D6" w14:textId="77777777" w:rsidR="000764CC" w:rsidRPr="000764CC" w:rsidRDefault="000764CC" w:rsidP="004E2111">
      <w:pPr>
        <w:spacing w:before="120" w:after="120"/>
        <w:ind w:left="360"/>
        <w:rPr>
          <w:rFonts w:cs="Arial"/>
          <w:color w:val="0D0D0D" w:themeColor="text1" w:themeTint="F2"/>
          <w:szCs w:val="21"/>
        </w:rPr>
      </w:pPr>
      <w:r w:rsidRPr="000764CC">
        <w:rPr>
          <w:rFonts w:cs="Arial"/>
          <w:color w:val="0D0D0D" w:themeColor="text1" w:themeTint="F2"/>
          <w:szCs w:val="21"/>
        </w:rPr>
        <w:t>Across these engagements, IBM has consistently demonstrated the ability to:</w:t>
      </w:r>
    </w:p>
    <w:p w14:paraId="0DE556A3"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Collaborate effectively in multi-vendor environments</w:t>
      </w:r>
      <w:r w:rsidRPr="000764CC">
        <w:rPr>
          <w:rFonts w:cs="Arial"/>
          <w:szCs w:val="21"/>
        </w:rPr>
        <w:t xml:space="preserve"> while maintaining independent QA authority.</w:t>
      </w:r>
    </w:p>
    <w:p w14:paraId="3239612A"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Reduce delivery risk</w:t>
      </w:r>
      <w:r w:rsidRPr="000764CC">
        <w:rPr>
          <w:rFonts w:cs="Arial"/>
          <w:szCs w:val="21"/>
        </w:rPr>
        <w:t xml:space="preserve"> through proactive quality engineering and predictive analytics.</w:t>
      </w:r>
    </w:p>
    <w:p w14:paraId="5E5159B4"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Accelerate readiness</w:t>
      </w:r>
      <w:r w:rsidRPr="000764CC">
        <w:rPr>
          <w:rFonts w:cs="Arial"/>
          <w:szCs w:val="21"/>
        </w:rPr>
        <w:t xml:space="preserve"> by embedding QA early in planning and governance.</w:t>
      </w:r>
    </w:p>
    <w:p w14:paraId="71EB393C"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Build stakeholder confidence</w:t>
      </w:r>
      <w:r w:rsidRPr="000764CC">
        <w:rPr>
          <w:rFonts w:cs="Arial"/>
          <w:szCs w:val="21"/>
        </w:rPr>
        <w:t xml:space="preserve"> through data-driven transparency and shared accountability.</w:t>
      </w:r>
    </w:p>
    <w:p w14:paraId="67FFB3BF" w14:textId="77777777" w:rsidR="000764CC" w:rsidRPr="000764CC" w:rsidRDefault="000764CC" w:rsidP="004E2111">
      <w:pPr>
        <w:numPr>
          <w:ilvl w:val="0"/>
          <w:numId w:val="11"/>
        </w:numPr>
        <w:spacing w:before="60"/>
        <w:ind w:left="717" w:hanging="357"/>
        <w:rPr>
          <w:rFonts w:cs="Arial"/>
          <w:szCs w:val="21"/>
        </w:rPr>
      </w:pPr>
      <w:r w:rsidRPr="000764CC">
        <w:rPr>
          <w:rFonts w:cs="Arial"/>
          <w:szCs w:val="21"/>
        </w:rPr>
        <w:t xml:space="preserve">This experience positions IBM to help the CalSAWS Consortium achieve the same outcomes: </w:t>
      </w:r>
      <w:r w:rsidRPr="000764CC">
        <w:rPr>
          <w:rFonts w:cs="Arial"/>
          <w:b/>
          <w:bCs/>
          <w:szCs w:val="21"/>
        </w:rPr>
        <w:t>predictable releases, stronger governance alignment, measurable quality improvements, and enduring public trust.</w:t>
      </w:r>
    </w:p>
    <w:p w14:paraId="3A1BFD2F" w14:textId="77777777" w:rsidR="00AA4A1C" w:rsidRDefault="00AA4A1C" w:rsidP="000764CC">
      <w:pPr>
        <w:spacing w:before="120" w:after="120"/>
        <w:rPr>
          <w:rFonts w:cs="Arial"/>
          <w:b/>
          <w:bCs/>
          <w:color w:val="0070C0"/>
          <w:szCs w:val="21"/>
        </w:rPr>
      </w:pPr>
    </w:p>
    <w:p w14:paraId="579F9774" w14:textId="71DDABF6" w:rsidR="000764CC" w:rsidRPr="00AA4A1C" w:rsidRDefault="000764CC" w:rsidP="000764CC">
      <w:pPr>
        <w:spacing w:before="120" w:after="120"/>
        <w:rPr>
          <w:rFonts w:cs="Arial"/>
          <w:color w:val="0070C0"/>
          <w:sz w:val="28"/>
          <w:szCs w:val="28"/>
        </w:rPr>
      </w:pPr>
      <w:r w:rsidRPr="00AA4A1C">
        <w:rPr>
          <w:rFonts w:cs="Arial"/>
          <w:color w:val="0070C0"/>
          <w:sz w:val="28"/>
          <w:szCs w:val="28"/>
        </w:rPr>
        <w:t>Driving One-Team Outcomes Through Governance and Transparency</w:t>
      </w:r>
    </w:p>
    <w:p w14:paraId="20821AA7"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 xml:space="preserve">For CalSAWS, effective QA management means more than executing test cases — it means enabling </w:t>
      </w:r>
      <w:r w:rsidRPr="000764CC">
        <w:rPr>
          <w:rFonts w:cs="Arial"/>
          <w:b/>
          <w:bCs/>
          <w:color w:val="0D0D0D" w:themeColor="text1" w:themeTint="F2"/>
          <w:szCs w:val="21"/>
        </w:rPr>
        <w:t>transparent, coordinated quality across every contractor, county, and program interface</w:t>
      </w:r>
      <w:r w:rsidRPr="000764CC">
        <w:rPr>
          <w:rFonts w:cs="Arial"/>
          <w:color w:val="0D0D0D" w:themeColor="text1" w:themeTint="F2"/>
          <w:szCs w:val="21"/>
        </w:rPr>
        <w:t>.</w:t>
      </w:r>
    </w:p>
    <w:p w14:paraId="3A454685"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 xml:space="preserve">Through IBM’s governance-driven approach, QA becomes a </w:t>
      </w:r>
      <w:r w:rsidRPr="000764CC">
        <w:rPr>
          <w:rFonts w:cs="Arial"/>
          <w:b/>
          <w:bCs/>
          <w:color w:val="0D0D0D" w:themeColor="text1" w:themeTint="F2"/>
          <w:szCs w:val="21"/>
        </w:rPr>
        <w:t>core management discipline</w:t>
      </w:r>
      <w:r w:rsidRPr="000764CC">
        <w:rPr>
          <w:rFonts w:cs="Arial"/>
          <w:color w:val="0D0D0D" w:themeColor="text1" w:themeTint="F2"/>
          <w:szCs w:val="21"/>
        </w:rPr>
        <w:t xml:space="preserve"> that promotes shared accountability, predictable delivery, and citizen trust.</w:t>
      </w:r>
    </w:p>
    <w:p w14:paraId="0EAF2B98"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With IBM as its QA partner, the Consortium gains:</w:t>
      </w:r>
    </w:p>
    <w:p w14:paraId="7128206F"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Governance clarity:</w:t>
      </w:r>
      <w:r w:rsidRPr="000764CC">
        <w:rPr>
          <w:rFonts w:cs="Arial"/>
          <w:szCs w:val="21"/>
        </w:rPr>
        <w:t xml:space="preserve"> A practical RACI model fully integrated with PMO oversight and deliverable management.</w:t>
      </w:r>
    </w:p>
    <w:p w14:paraId="2B7147B3"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Proactive collaboration:</w:t>
      </w:r>
      <w:r w:rsidRPr="000764CC">
        <w:rPr>
          <w:rFonts w:cs="Arial"/>
          <w:szCs w:val="21"/>
        </w:rPr>
        <w:t xml:space="preserve"> Daily, weekly, and monthly cadences that strengthen cross-vendor accountability and accelerate decision-making.</w:t>
      </w:r>
    </w:p>
    <w:p w14:paraId="33D85DCB"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lastRenderedPageBreak/>
        <w:t>Transparency and trust:</w:t>
      </w:r>
      <w:r w:rsidRPr="000764CC">
        <w:rPr>
          <w:rFonts w:cs="Arial"/>
          <w:szCs w:val="21"/>
        </w:rPr>
        <w:t xml:space="preserve"> Unified dashboards and reports that give leadership a real-time view of readiness and risk.</w:t>
      </w:r>
    </w:p>
    <w:p w14:paraId="0E92FE54"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Continuous improvement:</w:t>
      </w:r>
      <w:r w:rsidRPr="000764CC">
        <w:rPr>
          <w:rFonts w:cs="Arial"/>
          <w:szCs w:val="21"/>
        </w:rPr>
        <w:t xml:space="preserve"> Lessons learned and analytics that drive measurable, year-over-year quality gains.</w:t>
      </w:r>
    </w:p>
    <w:p w14:paraId="38339E3B"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Proven performance:</w:t>
      </w:r>
      <w:r w:rsidRPr="000764CC">
        <w:rPr>
          <w:rFonts w:cs="Arial"/>
          <w:szCs w:val="21"/>
        </w:rPr>
        <w:t xml:space="preserve"> Demonstrated results in California and other large-scale, multi-vendor HHS ecosystems.</w:t>
      </w:r>
    </w:p>
    <w:p w14:paraId="2F49FC60" w14:textId="77777777" w:rsidR="000764CC" w:rsidRPr="000764CC" w:rsidRDefault="000764CC" w:rsidP="000764CC">
      <w:pPr>
        <w:spacing w:before="120"/>
        <w:rPr>
          <w:rFonts w:cstheme="minorHAnsi"/>
          <w:b/>
          <w:bCs/>
          <w:color w:val="auto"/>
        </w:rPr>
      </w:pPr>
      <w:r w:rsidRPr="000764CC">
        <w:rPr>
          <w:rFonts w:cstheme="minorHAnsi"/>
          <w:color w:val="auto"/>
        </w:rPr>
        <w:t xml:space="preserve">IBM’s role is to strengthen CalSAWS governance with </w:t>
      </w:r>
      <w:r w:rsidRPr="000764CC">
        <w:rPr>
          <w:rFonts w:cstheme="minorHAnsi"/>
          <w:b/>
          <w:bCs/>
          <w:color w:val="auto"/>
        </w:rPr>
        <w:t>independent insight, early risk identification, and actionable recommendations</w:t>
      </w:r>
      <w:r w:rsidRPr="000764CC">
        <w:rPr>
          <w:rFonts w:cstheme="minorHAnsi"/>
          <w:color w:val="auto"/>
        </w:rPr>
        <w:t xml:space="preserve">, ensuring that every release meets the Consortium’s high standards for security, accuracy, and reliability. Together with the Consortium and its contractor partners, IBM will help deliver a CalSAWS system that is </w:t>
      </w:r>
      <w:r w:rsidRPr="000764CC">
        <w:rPr>
          <w:rFonts w:cstheme="minorHAnsi"/>
          <w:b/>
          <w:bCs/>
          <w:color w:val="auto"/>
        </w:rPr>
        <w:t>resilient, predictable, and centered on the citizens it serves.</w:t>
      </w:r>
    </w:p>
    <w:p w14:paraId="4463B888" w14:textId="77777777" w:rsidR="000764CC" w:rsidRPr="000764CC" w:rsidRDefault="000764CC" w:rsidP="000764CC">
      <w:pPr>
        <w:spacing w:before="120"/>
        <w:rPr>
          <w:rFonts w:cstheme="minorHAnsi"/>
          <w:color w:val="auto"/>
        </w:rPr>
      </w:pPr>
      <w:r w:rsidRPr="000764CC">
        <w:rPr>
          <w:rFonts w:cstheme="minorHAnsi"/>
          <w:color w:val="auto"/>
        </w:rPr>
        <w:t>Building on this foundation of structured governance and collaboration, the next subsection (UA4) details IBM’s method for proactively identifying and mitigating high-risk and high-urgency areas within the CalSAWS environment. This approach ensures that quality assurance not only measures performance but also predicts and prevents issues before they affect benefit delivery.</w:t>
      </w:r>
    </w:p>
    <w:p w14:paraId="205C8C92" w14:textId="77777777" w:rsidR="00AA4A1C" w:rsidRDefault="00AA4A1C">
      <w:pPr>
        <w:spacing w:before="0" w:after="0"/>
        <w:rPr>
          <w:rFonts w:cs="Arial"/>
          <w:color w:val="106288"/>
          <w:sz w:val="32"/>
          <w:szCs w:val="36"/>
          <w:highlight w:val="lightGray"/>
        </w:rPr>
      </w:pPr>
      <w:bookmarkStart w:id="32" w:name="_Toc212035283"/>
      <w:r>
        <w:rPr>
          <w:rFonts w:cs="Arial"/>
          <w:color w:val="106288"/>
          <w:sz w:val="32"/>
          <w:szCs w:val="36"/>
          <w:highlight w:val="lightGray"/>
        </w:rPr>
        <w:br w:type="page"/>
      </w:r>
    </w:p>
    <w:p w14:paraId="40AB0216" w14:textId="765B1FE4" w:rsidR="000764CC" w:rsidRPr="000764CC" w:rsidRDefault="000E0227" w:rsidP="00AA4A1C">
      <w:pPr>
        <w:keepNext/>
        <w:tabs>
          <w:tab w:val="left" w:pos="0"/>
        </w:tabs>
        <w:spacing w:before="240" w:after="120"/>
        <w:outlineLvl w:val="2"/>
        <w:rPr>
          <w:rFonts w:cs="Arial"/>
          <w:color w:val="106288"/>
          <w:sz w:val="32"/>
          <w:szCs w:val="36"/>
        </w:rPr>
      </w:pPr>
      <w:r>
        <w:rPr>
          <w:rFonts w:cs="Arial"/>
          <w:color w:val="106288"/>
          <w:sz w:val="32"/>
          <w:szCs w:val="36"/>
        </w:rPr>
        <w:lastRenderedPageBreak/>
        <w:t xml:space="preserve">4.2.2 </w:t>
      </w:r>
      <w:r w:rsidR="000764CC" w:rsidRPr="000764CC">
        <w:rPr>
          <w:rFonts w:cs="Arial"/>
          <w:color w:val="106288"/>
          <w:sz w:val="32"/>
          <w:szCs w:val="36"/>
        </w:rPr>
        <w:t>UA4 – Detecting High-Risk and High-Urgency Areas</w:t>
      </w:r>
      <w:bookmarkEnd w:id="32"/>
    </w:p>
    <w:p w14:paraId="7C02E7E2" w14:textId="77777777" w:rsidR="00EA4F0A" w:rsidRPr="00EA4F0A" w:rsidRDefault="00EA4F0A" w:rsidP="00CF7600">
      <w:pPr>
        <w:pStyle w:val="CS-RFPBodyText"/>
        <w:numPr>
          <w:ilvl w:val="0"/>
          <w:numId w:val="39"/>
        </w:numPr>
        <w:spacing w:before="0" w:after="0"/>
        <w:rPr>
          <w:i/>
          <w:szCs w:val="22"/>
        </w:rPr>
      </w:pPr>
      <w:r w:rsidRPr="00EA4F0A">
        <w:rPr>
          <w:i/>
          <w:szCs w:val="22"/>
        </w:rPr>
        <w:t>Describe your approach, tools, and/or techniques to detect high risk areas and/or high urgency areas to identify candidates for subsequent deeper QA analysis/risk assessment.</w:t>
      </w:r>
    </w:p>
    <w:p w14:paraId="38FE9852" w14:textId="1686CF3A" w:rsidR="001C18D6" w:rsidRPr="00EA4F0A" w:rsidRDefault="00EA4F0A" w:rsidP="00CF7600">
      <w:pPr>
        <w:pStyle w:val="CS-RFPBodyText"/>
        <w:numPr>
          <w:ilvl w:val="0"/>
          <w:numId w:val="39"/>
        </w:numPr>
        <w:spacing w:before="0" w:after="0"/>
        <w:rPr>
          <w:i/>
          <w:szCs w:val="22"/>
        </w:rPr>
      </w:pPr>
      <w:r w:rsidRPr="00EA4F0A">
        <w:rPr>
          <w:i/>
          <w:szCs w:val="22"/>
        </w:rPr>
        <w:t>Provide demonstrated examples from previous QA projects as applicable.</w:t>
      </w:r>
    </w:p>
    <w:p w14:paraId="6E64669C" w14:textId="77777777" w:rsidR="00245820" w:rsidRDefault="00245820" w:rsidP="000764CC">
      <w:pPr>
        <w:spacing w:before="120" w:after="120"/>
        <w:rPr>
          <w:rFonts w:cstheme="minorHAnsi"/>
          <w:color w:val="00678F" w:themeColor="accent2" w:themeShade="BF"/>
          <w:sz w:val="28"/>
          <w:szCs w:val="28"/>
        </w:rPr>
      </w:pPr>
    </w:p>
    <w:p w14:paraId="7B7BE72C" w14:textId="5EEAC8A6" w:rsidR="000764CC" w:rsidRPr="001C18D6" w:rsidRDefault="00A06CBD" w:rsidP="000764CC">
      <w:pPr>
        <w:spacing w:before="120" w:after="120"/>
        <w:rPr>
          <w:rFonts w:cstheme="minorHAnsi"/>
          <w:color w:val="00678F" w:themeColor="accent2" w:themeShade="BF"/>
          <w:sz w:val="28"/>
          <w:szCs w:val="28"/>
        </w:rPr>
      </w:pPr>
      <w:r>
        <w:rPr>
          <w:rFonts w:cstheme="minorHAnsi"/>
          <w:color w:val="00678F" w:themeColor="accent2" w:themeShade="BF"/>
          <w:sz w:val="28"/>
          <w:szCs w:val="28"/>
        </w:rPr>
        <w:t>Introduction</w:t>
      </w:r>
    </w:p>
    <w:p w14:paraId="5B607360" w14:textId="77777777" w:rsidR="000764CC" w:rsidRPr="000764CC" w:rsidRDefault="000764CC" w:rsidP="000764CC">
      <w:pPr>
        <w:spacing w:before="120" w:after="120"/>
        <w:rPr>
          <w:rFonts w:cstheme="minorHAnsi"/>
          <w:color w:val="0D0D0D" w:themeColor="text1" w:themeTint="F2"/>
        </w:rPr>
      </w:pPr>
      <w:r w:rsidRPr="000764CC">
        <w:rPr>
          <w:rFonts w:cstheme="minorHAnsi"/>
          <w:color w:val="0D0D0D" w:themeColor="text1" w:themeTint="F2"/>
        </w:rPr>
        <w:t xml:space="preserve">CalSAWS operates in a fast-changing environment shaped by legislative mandates, multi-vendor dependencies, and public expectations for timely benefits. The highest-value QA activity is not exhaustive testing; it is </w:t>
      </w:r>
      <w:r w:rsidRPr="000764CC">
        <w:rPr>
          <w:rFonts w:cstheme="minorHAnsi"/>
          <w:b/>
          <w:bCs/>
          <w:color w:val="0D0D0D" w:themeColor="text1" w:themeTint="F2"/>
        </w:rPr>
        <w:t>early, targeted detection</w:t>
      </w:r>
      <w:r w:rsidRPr="000764CC">
        <w:rPr>
          <w:rFonts w:cstheme="minorHAnsi"/>
          <w:color w:val="0D0D0D" w:themeColor="text1" w:themeTint="F2"/>
        </w:rPr>
        <w:t xml:space="preserve"> of where issues are most likely to emerge.</w:t>
      </w:r>
    </w:p>
    <w:p w14:paraId="1E371566" w14:textId="77777777" w:rsidR="000764CC" w:rsidRPr="000764CC" w:rsidRDefault="000764CC" w:rsidP="000764CC">
      <w:pPr>
        <w:spacing w:before="120" w:after="120"/>
        <w:rPr>
          <w:rFonts w:cstheme="minorHAnsi"/>
          <w:color w:val="0D0D0D" w:themeColor="text1" w:themeTint="F2"/>
        </w:rPr>
      </w:pPr>
      <w:r w:rsidRPr="000764CC">
        <w:rPr>
          <w:rFonts w:cstheme="minorHAnsi"/>
          <w:color w:val="0D0D0D" w:themeColor="text1" w:themeTint="F2"/>
        </w:rPr>
        <w:t>IBM’s approach combines three complementary capabilities:</w:t>
      </w:r>
    </w:p>
    <w:p w14:paraId="423CB6A2"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Continuous Risk Management (CRM):</w:t>
      </w:r>
      <w:r w:rsidRPr="000764CC">
        <w:rPr>
          <w:rFonts w:cs="Arial"/>
          <w:szCs w:val="21"/>
        </w:rPr>
        <w:t xml:space="preserve"> A disciplined process to identify, analyze, and control QA risks across releases.</w:t>
      </w:r>
    </w:p>
    <w:p w14:paraId="2E3730C1"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Early Warning Framework (EWF):</w:t>
      </w:r>
      <w:r w:rsidRPr="000764CC">
        <w:rPr>
          <w:rFonts w:cs="Arial"/>
          <w:szCs w:val="21"/>
        </w:rPr>
        <w:t xml:space="preserve"> Automated and human-driven indicators that detect early signs of delivery or quality degradation.</w:t>
      </w:r>
    </w:p>
    <w:p w14:paraId="16563608"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AI-Enabled Analytics via IQP+:</w:t>
      </w:r>
      <w:r w:rsidRPr="000764CC">
        <w:rPr>
          <w:rFonts w:cs="Arial"/>
          <w:szCs w:val="21"/>
        </w:rPr>
        <w:t xml:space="preserve"> Predictive modeling that surfaces emerging risk patterns using data from testing, code, and performance telemetry.</w:t>
      </w:r>
    </w:p>
    <w:p w14:paraId="04638330" w14:textId="77777777" w:rsidR="000764CC" w:rsidRPr="000764CC" w:rsidRDefault="000764CC" w:rsidP="000764CC">
      <w:pPr>
        <w:spacing w:before="120" w:after="120"/>
        <w:rPr>
          <w:rFonts w:cstheme="minorHAnsi"/>
          <w:color w:val="0D0D0D" w:themeColor="text1" w:themeTint="F2"/>
        </w:rPr>
      </w:pPr>
      <w:r w:rsidRPr="000764CC">
        <w:rPr>
          <w:rFonts w:cstheme="minorHAnsi"/>
          <w:color w:val="0D0D0D" w:themeColor="text1" w:themeTint="F2"/>
        </w:rPr>
        <w:t>Together, these ensure CalSAWS focuses QA effort where it matters most—protecting eligibility accuracy, county operations, and benefit delivery.</w:t>
      </w:r>
    </w:p>
    <w:p w14:paraId="4AA79767" w14:textId="77777777" w:rsidR="001C18D6" w:rsidRDefault="001C18D6" w:rsidP="000764CC">
      <w:pPr>
        <w:spacing w:before="120" w:after="120"/>
        <w:rPr>
          <w:rFonts w:cs="Arial"/>
          <w:b/>
          <w:bCs/>
          <w:color w:val="0D0D0D" w:themeColor="text1" w:themeTint="F2"/>
          <w:szCs w:val="21"/>
        </w:rPr>
      </w:pPr>
    </w:p>
    <w:p w14:paraId="78AC7757" w14:textId="4C4FAC20" w:rsidR="000764CC" w:rsidRPr="001C18D6" w:rsidRDefault="00354A22" w:rsidP="000764CC">
      <w:pPr>
        <w:spacing w:before="120" w:after="120"/>
        <w:rPr>
          <w:rFonts w:cs="Arial"/>
          <w:color w:val="00678F" w:themeColor="accent2" w:themeShade="BF"/>
          <w:sz w:val="28"/>
          <w:szCs w:val="28"/>
        </w:rPr>
      </w:pPr>
      <w:r>
        <w:rPr>
          <w:rFonts w:cs="Arial"/>
          <w:color w:val="00678F" w:themeColor="accent2" w:themeShade="BF"/>
          <w:sz w:val="28"/>
          <w:szCs w:val="28"/>
        </w:rPr>
        <w:t>Our u</w:t>
      </w:r>
      <w:r w:rsidR="000764CC" w:rsidRPr="001C18D6">
        <w:rPr>
          <w:rFonts w:cs="Arial"/>
          <w:color w:val="00678F" w:themeColor="accent2" w:themeShade="BF"/>
          <w:sz w:val="28"/>
          <w:szCs w:val="28"/>
        </w:rPr>
        <w:t>nderstanding of the Consortium’s Need</w:t>
      </w:r>
    </w:p>
    <w:p w14:paraId="0B6B3992" w14:textId="77777777" w:rsidR="000764CC" w:rsidRPr="000764CC" w:rsidRDefault="000764CC" w:rsidP="000764CC">
      <w:pPr>
        <w:spacing w:before="120" w:after="120"/>
        <w:rPr>
          <w:rFonts w:cstheme="minorHAnsi"/>
          <w:color w:val="0D0D0D" w:themeColor="text1" w:themeTint="F2"/>
        </w:rPr>
      </w:pPr>
      <w:r w:rsidRPr="000764CC">
        <w:rPr>
          <w:rFonts w:cstheme="minorHAnsi"/>
          <w:color w:val="0D0D0D" w:themeColor="text1" w:themeTint="F2"/>
        </w:rPr>
        <w:t>CalSAWS must continuously deliver accurate results while adapting to new policies and integrations across multiple vendors. The Consortium’s objectives under UA4 are to:</w:t>
      </w:r>
    </w:p>
    <w:p w14:paraId="2B8C5E59" w14:textId="77777777" w:rsidR="000764CC" w:rsidRPr="000764CC" w:rsidRDefault="000764CC" w:rsidP="000764CC">
      <w:pPr>
        <w:numPr>
          <w:ilvl w:val="0"/>
          <w:numId w:val="11"/>
        </w:numPr>
        <w:spacing w:before="60"/>
        <w:ind w:left="357" w:hanging="357"/>
        <w:rPr>
          <w:rFonts w:cs="Arial"/>
          <w:szCs w:val="21"/>
        </w:rPr>
      </w:pPr>
      <w:r w:rsidRPr="000764CC">
        <w:rPr>
          <w:rFonts w:cs="Arial"/>
          <w:szCs w:val="21"/>
        </w:rPr>
        <w:t>Detect modules or workflows with the highest likelihood of producing severe defects or schedule impacts.</w:t>
      </w:r>
    </w:p>
    <w:p w14:paraId="430C3AAC" w14:textId="77777777" w:rsidR="000764CC" w:rsidRPr="000764CC" w:rsidRDefault="000764CC" w:rsidP="000764CC">
      <w:pPr>
        <w:numPr>
          <w:ilvl w:val="0"/>
          <w:numId w:val="11"/>
        </w:numPr>
        <w:spacing w:before="60"/>
        <w:ind w:left="357" w:hanging="357"/>
        <w:rPr>
          <w:rFonts w:cs="Arial"/>
          <w:szCs w:val="21"/>
        </w:rPr>
      </w:pPr>
      <w:r w:rsidRPr="000764CC">
        <w:rPr>
          <w:rFonts w:cs="Arial"/>
          <w:szCs w:val="21"/>
        </w:rPr>
        <w:t>Identify urgent issues requiring immediate intervention.</w:t>
      </w:r>
    </w:p>
    <w:p w14:paraId="4733B71E" w14:textId="77777777" w:rsidR="000764CC" w:rsidRPr="000764CC" w:rsidRDefault="000764CC" w:rsidP="000764CC">
      <w:pPr>
        <w:numPr>
          <w:ilvl w:val="0"/>
          <w:numId w:val="11"/>
        </w:numPr>
        <w:spacing w:before="60"/>
        <w:ind w:left="357" w:hanging="357"/>
        <w:rPr>
          <w:rFonts w:cs="Arial"/>
          <w:szCs w:val="21"/>
        </w:rPr>
      </w:pPr>
      <w:r w:rsidRPr="000764CC">
        <w:rPr>
          <w:rFonts w:cs="Arial"/>
          <w:szCs w:val="21"/>
        </w:rPr>
        <w:t>Apply a repeatable, evidence-based method to nominate candidates for deeper QA analysis.</w:t>
      </w:r>
    </w:p>
    <w:p w14:paraId="2604E38D" w14:textId="77777777" w:rsidR="000764CC" w:rsidRPr="000764CC" w:rsidRDefault="000764CC" w:rsidP="000764CC">
      <w:pPr>
        <w:numPr>
          <w:ilvl w:val="0"/>
          <w:numId w:val="11"/>
        </w:numPr>
        <w:spacing w:before="60"/>
        <w:ind w:left="357" w:hanging="357"/>
        <w:rPr>
          <w:rFonts w:cs="Arial"/>
          <w:szCs w:val="21"/>
        </w:rPr>
      </w:pPr>
      <w:r w:rsidRPr="000764CC">
        <w:rPr>
          <w:rFonts w:cs="Arial"/>
          <w:szCs w:val="21"/>
        </w:rPr>
        <w:t xml:space="preserve">Operate fully within the </w:t>
      </w:r>
      <w:r w:rsidRPr="000764CC">
        <w:rPr>
          <w:rFonts w:cs="Arial"/>
          <w:b/>
          <w:bCs/>
          <w:szCs w:val="21"/>
        </w:rPr>
        <w:t>CalSAWS Risk and Issue Management (RIM)</w:t>
      </w:r>
      <w:r w:rsidRPr="000764CC">
        <w:rPr>
          <w:rFonts w:cs="Arial"/>
          <w:szCs w:val="21"/>
        </w:rPr>
        <w:t xml:space="preserve"> and </w:t>
      </w:r>
      <w:r w:rsidRPr="000764CC">
        <w:rPr>
          <w:rFonts w:cs="Arial"/>
          <w:b/>
          <w:bCs/>
          <w:szCs w:val="21"/>
        </w:rPr>
        <w:t>Deliverable Management (DED/DEL)</w:t>
      </w:r>
      <w:r w:rsidRPr="000764CC">
        <w:rPr>
          <w:rFonts w:cs="Arial"/>
          <w:szCs w:val="21"/>
        </w:rPr>
        <w:t xml:space="preserve"> frameworks.</w:t>
      </w:r>
    </w:p>
    <w:p w14:paraId="249A500C" w14:textId="77777777" w:rsidR="000764CC" w:rsidRPr="000764CC" w:rsidRDefault="000764CC" w:rsidP="000764CC">
      <w:pPr>
        <w:spacing w:before="120" w:after="120"/>
        <w:rPr>
          <w:rFonts w:cstheme="minorHAnsi"/>
          <w:color w:val="0D0D0D" w:themeColor="text1" w:themeTint="F2"/>
        </w:rPr>
      </w:pPr>
      <w:r w:rsidRPr="000764CC">
        <w:rPr>
          <w:rFonts w:cstheme="minorHAnsi"/>
          <w:color w:val="0D0D0D" w:themeColor="text1" w:themeTint="F2"/>
        </w:rPr>
        <w:t>IBM’s QA role complements the Consortium’s governance—strengthening visibility and discipline without duplication.</w:t>
      </w:r>
    </w:p>
    <w:p w14:paraId="2CB5B031" w14:textId="77777777" w:rsidR="00D87A14" w:rsidRDefault="00D87A14" w:rsidP="000764CC">
      <w:pPr>
        <w:spacing w:before="120" w:after="120"/>
        <w:rPr>
          <w:rFonts w:cs="Arial"/>
          <w:b/>
          <w:bCs/>
          <w:color w:val="0D0D0D" w:themeColor="text1" w:themeTint="F2"/>
          <w:szCs w:val="21"/>
        </w:rPr>
      </w:pPr>
    </w:p>
    <w:p w14:paraId="4EFD9C33" w14:textId="77777777" w:rsidR="000764CC" w:rsidRPr="00D87A14" w:rsidRDefault="000764CC" w:rsidP="000764CC">
      <w:pPr>
        <w:spacing w:before="120" w:after="120"/>
        <w:rPr>
          <w:rFonts w:cstheme="minorHAnsi"/>
          <w:color w:val="00678F" w:themeColor="accent2" w:themeShade="BF"/>
          <w:sz w:val="28"/>
          <w:szCs w:val="28"/>
        </w:rPr>
      </w:pPr>
      <w:r w:rsidRPr="00D87A14">
        <w:rPr>
          <w:rFonts w:cs="Arial"/>
          <w:color w:val="00678F" w:themeColor="accent2" w:themeShade="BF"/>
          <w:sz w:val="28"/>
          <w:szCs w:val="28"/>
        </w:rPr>
        <w:t>Integrated Approach: CRM + EWF + Predictive Analytics</w:t>
      </w:r>
    </w:p>
    <w:p w14:paraId="725E2113" w14:textId="77777777" w:rsidR="000660C8" w:rsidRPr="000764CC" w:rsidRDefault="000764CC" w:rsidP="000764CC">
      <w:pPr>
        <w:spacing w:before="120" w:after="120"/>
        <w:rPr>
          <w:rFonts w:cstheme="minorHAnsi"/>
          <w:color w:val="0D0D0D" w:themeColor="text1" w:themeTint="F2"/>
        </w:rPr>
      </w:pPr>
      <w:r w:rsidRPr="000764CC">
        <w:rPr>
          <w:rFonts w:cstheme="minorHAnsi"/>
          <w:color w:val="0D0D0D" w:themeColor="text1" w:themeTint="F2"/>
        </w:rPr>
        <w:t>IBM integrates risk management, early detection, and predictive analytics within CalSAWS’ governance cadence.</w:t>
      </w:r>
    </w:p>
    <w:p w14:paraId="2027B9DC" w14:textId="77777777" w:rsidR="000764CC" w:rsidRPr="000764CC" w:rsidRDefault="000764CC" w:rsidP="00CF7600">
      <w:pPr>
        <w:numPr>
          <w:ilvl w:val="0"/>
          <w:numId w:val="35"/>
        </w:numPr>
        <w:tabs>
          <w:tab w:val="left" w:pos="360"/>
        </w:tabs>
        <w:spacing w:before="120" w:after="120"/>
        <w:ind w:left="360"/>
        <w:rPr>
          <w:rFonts w:cstheme="minorHAnsi"/>
          <w:color w:val="0D0D0D" w:themeColor="text1" w:themeTint="F2"/>
        </w:rPr>
      </w:pPr>
      <w:r w:rsidRPr="000764CC">
        <w:rPr>
          <w:rFonts w:cstheme="minorHAnsi"/>
          <w:b/>
          <w:bCs/>
          <w:color w:val="0D0D0D" w:themeColor="text1" w:themeTint="F2"/>
        </w:rPr>
        <w:t>Continuous Risk Management (CRM):</w:t>
      </w:r>
    </w:p>
    <w:p w14:paraId="2F11EC63" w14:textId="77777777" w:rsidR="000764CC" w:rsidRPr="000764CC" w:rsidRDefault="000764CC" w:rsidP="000764CC">
      <w:pPr>
        <w:spacing w:before="120" w:after="120"/>
        <w:ind w:left="360"/>
        <w:rPr>
          <w:rFonts w:cs="Arial"/>
          <w:color w:val="0D0D0D" w:themeColor="text1" w:themeTint="F2"/>
          <w:szCs w:val="21"/>
        </w:rPr>
      </w:pPr>
      <w:r w:rsidRPr="000764CC">
        <w:rPr>
          <w:rFonts w:cs="Arial"/>
          <w:color w:val="0D0D0D" w:themeColor="text1" w:themeTint="F2"/>
          <w:szCs w:val="21"/>
        </w:rPr>
        <w:lastRenderedPageBreak/>
        <w:t>A six-step lifecycle—identify → analyze → prioritize → plan → monitor → control—embedded in QA operations and aligned with QA deliverables (D-QA-01 through D-QA-05).</w:t>
      </w:r>
    </w:p>
    <w:p w14:paraId="5DA66608" w14:textId="77777777" w:rsidR="000764CC" w:rsidRPr="000764CC" w:rsidRDefault="000764CC" w:rsidP="00CF7600">
      <w:pPr>
        <w:numPr>
          <w:ilvl w:val="0"/>
          <w:numId w:val="35"/>
        </w:numPr>
        <w:tabs>
          <w:tab w:val="left" w:pos="360"/>
        </w:tabs>
        <w:spacing w:before="120" w:after="120"/>
        <w:ind w:left="360"/>
        <w:rPr>
          <w:rFonts w:cstheme="minorHAnsi"/>
          <w:color w:val="0D0D0D" w:themeColor="text1" w:themeTint="F2"/>
        </w:rPr>
      </w:pPr>
      <w:r w:rsidRPr="000764CC">
        <w:rPr>
          <w:rFonts w:cstheme="minorHAnsi"/>
          <w:b/>
          <w:bCs/>
          <w:color w:val="0D0D0D" w:themeColor="text1" w:themeTint="F2"/>
        </w:rPr>
        <w:t>Early Warning Framework (EWF):</w:t>
      </w:r>
    </w:p>
    <w:p w14:paraId="53A53977" w14:textId="77777777" w:rsidR="000764CC" w:rsidRPr="000764CC" w:rsidRDefault="000764CC" w:rsidP="000764CC">
      <w:pPr>
        <w:spacing w:before="120" w:after="120"/>
        <w:ind w:left="360"/>
        <w:rPr>
          <w:rFonts w:cs="Arial"/>
          <w:color w:val="0D0D0D" w:themeColor="text1" w:themeTint="F2"/>
          <w:szCs w:val="21"/>
        </w:rPr>
      </w:pPr>
      <w:r w:rsidRPr="000764CC">
        <w:rPr>
          <w:rFonts w:cs="Arial"/>
          <w:color w:val="0D0D0D" w:themeColor="text1" w:themeTint="F2"/>
          <w:szCs w:val="21"/>
        </w:rPr>
        <w:t>Automated trend and anomaly detection flags potential degradation in quality, schedule, or environment health long before production impact.</w:t>
      </w:r>
    </w:p>
    <w:p w14:paraId="049A6E0A" w14:textId="77777777" w:rsidR="000764CC" w:rsidRPr="000764CC" w:rsidRDefault="000764CC" w:rsidP="00CF7600">
      <w:pPr>
        <w:numPr>
          <w:ilvl w:val="0"/>
          <w:numId w:val="35"/>
        </w:numPr>
        <w:tabs>
          <w:tab w:val="left" w:pos="360"/>
        </w:tabs>
        <w:spacing w:before="120" w:after="120"/>
        <w:ind w:left="360"/>
        <w:rPr>
          <w:rFonts w:cstheme="minorHAnsi"/>
          <w:color w:val="0D0D0D" w:themeColor="text1" w:themeTint="F2"/>
        </w:rPr>
      </w:pPr>
      <w:r w:rsidRPr="000764CC">
        <w:rPr>
          <w:rFonts w:cstheme="minorHAnsi"/>
          <w:b/>
          <w:bCs/>
          <w:color w:val="0D0D0D" w:themeColor="text1" w:themeTint="F2"/>
        </w:rPr>
        <w:t>AI and Analytics via IQP+:</w:t>
      </w:r>
    </w:p>
    <w:p w14:paraId="337C2703" w14:textId="00986CA4" w:rsidR="000764CC" w:rsidRPr="000764CC" w:rsidRDefault="00A82685" w:rsidP="000764CC">
      <w:pPr>
        <w:spacing w:before="120" w:after="120"/>
        <w:ind w:left="360"/>
        <w:rPr>
          <w:rFonts w:cs="Arial"/>
          <w:color w:val="0D0D0D" w:themeColor="text1" w:themeTint="F2"/>
          <w:szCs w:val="21"/>
        </w:rPr>
      </w:pPr>
      <w:r>
        <w:rPr>
          <w:noProof/>
        </w:rPr>
        <mc:AlternateContent>
          <mc:Choice Requires="wps">
            <w:drawing>
              <wp:anchor distT="0" distB="0" distL="114300" distR="114300" simplePos="0" relativeHeight="251658258" behindDoc="0" locked="0" layoutInCell="1" allowOverlap="1" wp14:anchorId="1BFAEB70" wp14:editId="75F7C482">
                <wp:simplePos x="0" y="0"/>
                <wp:positionH relativeFrom="column">
                  <wp:posOffset>1875155</wp:posOffset>
                </wp:positionH>
                <wp:positionV relativeFrom="paragraph">
                  <wp:posOffset>2484120</wp:posOffset>
                </wp:positionV>
                <wp:extent cx="2329815" cy="635"/>
                <wp:effectExtent l="0" t="0" r="0" b="12065"/>
                <wp:wrapTopAndBottom/>
                <wp:docPr id="2060551076" name="Text Box 1"/>
                <wp:cNvGraphicFramePr/>
                <a:graphic xmlns:a="http://schemas.openxmlformats.org/drawingml/2006/main">
                  <a:graphicData uri="http://schemas.microsoft.com/office/word/2010/wordprocessingShape">
                    <wps:wsp>
                      <wps:cNvSpPr txBox="1"/>
                      <wps:spPr>
                        <a:xfrm>
                          <a:off x="0" y="0"/>
                          <a:ext cx="2329815" cy="635"/>
                        </a:xfrm>
                        <a:prstGeom prst="rect">
                          <a:avLst/>
                        </a:prstGeom>
                        <a:solidFill>
                          <a:prstClr val="white"/>
                        </a:solidFill>
                        <a:ln>
                          <a:noFill/>
                        </a:ln>
                      </wps:spPr>
                      <wps:txbx>
                        <w:txbxContent>
                          <w:p w14:paraId="01A9DD35" w14:textId="0CECF124" w:rsidR="00A82685" w:rsidRPr="00B77176" w:rsidRDefault="00A82685" w:rsidP="00A82685">
                            <w:pPr>
                              <w:pStyle w:val="Caption"/>
                              <w:rPr>
                                <w:rFonts w:cs="Arial"/>
                                <w:noProof/>
                                <w:color w:val="0D0D0D" w:themeColor="text1" w:themeTint="F2"/>
                                <w:sz w:val="22"/>
                                <w:szCs w:val="21"/>
                              </w:rPr>
                            </w:pPr>
                            <w:bookmarkStart w:id="33" w:name="_Toc212200118"/>
                            <w:r>
                              <w:t xml:space="preserve">Figure 4.2.2. </w:t>
                            </w:r>
                            <w:r>
                              <w:fldChar w:fldCharType="begin"/>
                            </w:r>
                            <w:r>
                              <w:instrText xml:space="preserve"> SEQ Figure_4.2.2. \* ARABIC </w:instrText>
                            </w:r>
                            <w:r>
                              <w:fldChar w:fldCharType="separate"/>
                            </w:r>
                            <w:r w:rsidR="00FB29F8">
                              <w:rPr>
                                <w:noProof/>
                              </w:rPr>
                              <w:t>1</w:t>
                            </w:r>
                            <w:r>
                              <w:fldChar w:fldCharType="end"/>
                            </w:r>
                            <w:r>
                              <w:t xml:space="preserve"> Risk Detection Ecosystem</w:t>
                            </w:r>
                            <w:bookmarkEnd w:id="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BFAEB70" id="_x0000_s1029" type="#_x0000_t202" style="position:absolute;left:0;text-align:left;margin-left:147.65pt;margin-top:195.6pt;width:183.45pt;height:.05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" stroked="f">
                <v:textbox style="mso-fit-shape-to-text:t" inset="0,0,0,0">
                  <w:txbxContent>
                    <w:p w14:paraId="01A9DD35" w14:textId="0CECF124" w:rsidR="00A82685" w:rsidRPr="00B77176" w:rsidRDefault="00A82685" w:rsidP="00A82685">
                      <w:pPr>
                        <w:pStyle w:val="Caption"/>
                        <w:rPr>
                          <w:rFonts w:cs="Arial"/>
                          <w:noProof/>
                          <w:color w:val="0D0D0D" w:themeColor="text1" w:themeTint="F2"/>
                          <w:sz w:val="22"/>
                          <w:szCs w:val="21"/>
                        </w:rPr>
                      </w:pPr>
                      <w:bookmarkStart w:id="34" w:name="_Toc212200118"/>
                      <w:r>
                        <w:t xml:space="preserve">Figure 4.2.2. </w:t>
                      </w:r>
                      <w:r>
                        <w:fldChar w:fldCharType="begin"/>
                      </w:r>
                      <w:r>
                        <w:instrText xml:space="preserve"> SEQ Figure_4.2.2. \* ARABIC </w:instrText>
                      </w:r>
                      <w:r>
                        <w:fldChar w:fldCharType="separate"/>
                      </w:r>
                      <w:r w:rsidR="00FB29F8">
                        <w:rPr>
                          <w:noProof/>
                        </w:rPr>
                        <w:t>1</w:t>
                      </w:r>
                      <w:r>
                        <w:fldChar w:fldCharType="end"/>
                      </w:r>
                      <w:r>
                        <w:t xml:space="preserve"> Risk Detection Ecosystem</w:t>
                      </w:r>
                      <w:bookmarkEnd w:id="34"/>
                    </w:p>
                  </w:txbxContent>
                </v:textbox>
                <w10:wrap type="topAndBottom"/>
              </v:shape>
            </w:pict>
          </mc:Fallback>
        </mc:AlternateContent>
      </w:r>
      <w:r w:rsidR="00A8717A">
        <w:rPr>
          <w:rFonts w:cs="Arial"/>
          <w:i/>
          <w:iCs/>
          <w:noProof/>
          <w:color w:val="0D0D0D" w:themeColor="text1" w:themeTint="F2"/>
          <w:szCs w:val="21"/>
        </w:rPr>
        <w:drawing>
          <wp:anchor distT="0" distB="0" distL="114300" distR="114300" simplePos="0" relativeHeight="251658246" behindDoc="0" locked="0" layoutInCell="1" allowOverlap="1" wp14:anchorId="2B2D7489" wp14:editId="64DE4B04">
            <wp:simplePos x="0" y="0"/>
            <wp:positionH relativeFrom="column">
              <wp:posOffset>1875476</wp:posOffset>
            </wp:positionH>
            <wp:positionV relativeFrom="paragraph">
              <wp:posOffset>649016</wp:posOffset>
            </wp:positionV>
            <wp:extent cx="2329815" cy="1778000"/>
            <wp:effectExtent l="0" t="0" r="0" b="0"/>
            <wp:wrapTopAndBottom/>
            <wp:docPr id="981895212" name="Picture 20"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95212" name="Picture 20" descr="A diagram of a process&#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29815" cy="1778000"/>
                    </a:xfrm>
                    <a:prstGeom prst="rect">
                      <a:avLst/>
                    </a:prstGeom>
                  </pic:spPr>
                </pic:pic>
              </a:graphicData>
            </a:graphic>
            <wp14:sizeRelH relativeFrom="page">
              <wp14:pctWidth>0</wp14:pctWidth>
            </wp14:sizeRelH>
            <wp14:sizeRelV relativeFrom="page">
              <wp14:pctHeight>0</wp14:pctHeight>
            </wp14:sizeRelV>
          </wp:anchor>
        </w:drawing>
      </w:r>
      <w:r w:rsidR="000764CC" w:rsidRPr="000764CC">
        <w:rPr>
          <w:rFonts w:cs="Arial"/>
          <w:color w:val="0D0D0D" w:themeColor="text1" w:themeTint="F2"/>
          <w:szCs w:val="21"/>
        </w:rPr>
        <w:t>IBM’s Intelligent Quality Platform Plus integrates with CalSAWS JIRA/JTM, CI/CD, and performance tools to produce dynamic risk scores and heat maps, visible to the Consortium and vendors.</w:t>
      </w:r>
    </w:p>
    <w:p w14:paraId="14DAEAEC" w14:textId="3FDD4F54"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1.</w:t>
      </w:r>
      <w:r w:rsidRPr="000764CC">
        <w:rPr>
          <w:rFonts w:cs="Arial"/>
          <w:b/>
          <w:bCs/>
          <w:color w:val="0D0D0D" w:themeColor="text1" w:themeTint="F2"/>
          <w:szCs w:val="21"/>
        </w:rPr>
        <w:tab/>
        <w:t>Defining High-Risk and High-Urgency</w:t>
      </w:r>
    </w:p>
    <w:p w14:paraId="2D732379" w14:textId="23191D0A" w:rsidR="000764CC" w:rsidRPr="000764CC" w:rsidRDefault="000764CC" w:rsidP="000660C8">
      <w:pPr>
        <w:spacing w:before="120" w:after="120"/>
        <w:ind w:left="360"/>
        <w:rPr>
          <w:rFonts w:cs="Arial"/>
          <w:color w:val="0D0D0D" w:themeColor="text1" w:themeTint="F2"/>
          <w:szCs w:val="21"/>
        </w:rPr>
      </w:pPr>
      <w:r w:rsidRPr="000764CC">
        <w:rPr>
          <w:rFonts w:cs="Arial"/>
          <w:b/>
          <w:bCs/>
          <w:color w:val="0D0D0D" w:themeColor="text1" w:themeTint="F2"/>
          <w:szCs w:val="21"/>
        </w:rPr>
        <w:t>High-Risk:</w:t>
      </w:r>
      <w:r w:rsidRPr="000764CC">
        <w:rPr>
          <w:rFonts w:cs="Arial"/>
          <w:color w:val="0D0D0D" w:themeColor="text1" w:themeTint="F2"/>
          <w:szCs w:val="21"/>
        </w:rPr>
        <w:t xml:space="preserve"> Modules or workflows likely to cause major production impact or rework—driven by high code churn, historical defect density, low test coverage, complex integrations, or heavy transaction volume.</w:t>
      </w:r>
    </w:p>
    <w:p w14:paraId="3524943A" w14:textId="77777777" w:rsidR="000764CC" w:rsidRPr="000764CC" w:rsidRDefault="000764CC" w:rsidP="000660C8">
      <w:pPr>
        <w:spacing w:before="120" w:after="120"/>
        <w:ind w:left="360"/>
        <w:rPr>
          <w:rFonts w:cs="Arial"/>
          <w:color w:val="0D0D0D" w:themeColor="text1" w:themeTint="F2"/>
          <w:szCs w:val="21"/>
        </w:rPr>
      </w:pPr>
      <w:r w:rsidRPr="000764CC">
        <w:rPr>
          <w:rFonts w:cs="Arial"/>
          <w:b/>
          <w:bCs/>
          <w:color w:val="0D0D0D" w:themeColor="text1" w:themeTint="F2"/>
          <w:szCs w:val="21"/>
        </w:rPr>
        <w:t>High-Urgency:</w:t>
      </w:r>
      <w:r w:rsidRPr="000764CC">
        <w:rPr>
          <w:rFonts w:cs="Arial"/>
          <w:color w:val="0D0D0D" w:themeColor="text1" w:themeTint="F2"/>
          <w:szCs w:val="21"/>
        </w:rPr>
        <w:t xml:space="preserve"> Issues requiring near-term action—such as legislative mandates with tight timelines, environment instability, or repeated automation failures.</w:t>
      </w:r>
    </w:p>
    <w:p w14:paraId="5757428C" w14:textId="77777777" w:rsidR="000764CC" w:rsidRPr="000764CC" w:rsidRDefault="000764CC" w:rsidP="000660C8">
      <w:pPr>
        <w:spacing w:before="120" w:after="120"/>
        <w:ind w:left="360"/>
        <w:rPr>
          <w:rFonts w:cstheme="minorHAnsi"/>
          <w:color w:val="0D0D0D" w:themeColor="text1" w:themeTint="F2"/>
        </w:rPr>
      </w:pPr>
      <w:r w:rsidRPr="000764CC">
        <w:rPr>
          <w:rFonts w:cstheme="minorHAnsi"/>
          <w:color w:val="0D0D0D" w:themeColor="text1" w:themeTint="F2"/>
        </w:rPr>
        <w:t xml:space="preserve">Each candidate is scored by </w:t>
      </w:r>
      <w:r w:rsidRPr="000764CC">
        <w:rPr>
          <w:rFonts w:cstheme="minorHAnsi"/>
          <w:i/>
          <w:iCs/>
          <w:color w:val="0D0D0D" w:themeColor="text1" w:themeTint="F2"/>
        </w:rPr>
        <w:t>likelihood × impact</w:t>
      </w:r>
      <w:r w:rsidRPr="000764CC">
        <w:rPr>
          <w:rFonts w:cstheme="minorHAnsi"/>
          <w:color w:val="0D0D0D" w:themeColor="text1" w:themeTint="F2"/>
        </w:rPr>
        <w:t xml:space="preserve"> and plotted on a continuously refreshed </w:t>
      </w:r>
      <w:r w:rsidRPr="000764CC">
        <w:rPr>
          <w:rFonts w:cstheme="minorHAnsi"/>
          <w:b/>
          <w:bCs/>
          <w:color w:val="0D0D0D" w:themeColor="text1" w:themeTint="F2"/>
        </w:rPr>
        <w:t>Risk Heat Map</w:t>
      </w:r>
      <w:r w:rsidRPr="000764CC">
        <w:rPr>
          <w:rFonts w:cstheme="minorHAnsi"/>
          <w:color w:val="0D0D0D" w:themeColor="text1" w:themeTint="F2"/>
        </w:rPr>
        <w:t>.</w:t>
      </w:r>
    </w:p>
    <w:p w14:paraId="49A0C7A8"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2.</w:t>
      </w:r>
      <w:r w:rsidRPr="000764CC">
        <w:rPr>
          <w:rFonts w:cs="Arial"/>
          <w:b/>
          <w:bCs/>
          <w:color w:val="0D0D0D" w:themeColor="text1" w:themeTint="F2"/>
          <w:szCs w:val="21"/>
        </w:rPr>
        <w:tab/>
        <w:t>Detection Techniques and Data Sources</w:t>
      </w:r>
    </w:p>
    <w:p w14:paraId="381846DB" w14:textId="77777777" w:rsidR="000764CC" w:rsidRPr="000764CC" w:rsidRDefault="000764CC" w:rsidP="000660C8">
      <w:pPr>
        <w:spacing w:before="120" w:after="120"/>
        <w:ind w:left="357"/>
        <w:rPr>
          <w:rFonts w:cstheme="minorHAnsi"/>
          <w:color w:val="0D0D0D" w:themeColor="text1" w:themeTint="F2"/>
        </w:rPr>
      </w:pPr>
      <w:r w:rsidRPr="000764CC">
        <w:rPr>
          <w:rFonts w:cstheme="minorHAnsi"/>
          <w:color w:val="0D0D0D" w:themeColor="text1" w:themeTint="F2"/>
        </w:rPr>
        <w:t>IBM correlates data from multiple systems to identify risk early:</w:t>
      </w:r>
    </w:p>
    <w:p w14:paraId="16631CB3"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SCM (Git):</w:t>
      </w:r>
      <w:r w:rsidRPr="000764CC">
        <w:rPr>
          <w:rFonts w:cs="Arial"/>
          <w:szCs w:val="21"/>
        </w:rPr>
        <w:t xml:space="preserve"> commit frequency and code churn.</w:t>
      </w:r>
    </w:p>
    <w:p w14:paraId="7350AA09"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CI/CD:</w:t>
      </w:r>
      <w:r w:rsidRPr="000764CC">
        <w:rPr>
          <w:rFonts w:cs="Arial"/>
          <w:szCs w:val="21"/>
        </w:rPr>
        <w:t xml:space="preserve"> pipeline failures and time-to-merge.</w:t>
      </w:r>
    </w:p>
    <w:p w14:paraId="7897FF25"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JIRA/JTM:</w:t>
      </w:r>
      <w:r w:rsidRPr="000764CC">
        <w:rPr>
          <w:rFonts w:cs="Arial"/>
          <w:szCs w:val="21"/>
        </w:rPr>
        <w:t xml:space="preserve"> defect density and automation flakiness.</w:t>
      </w:r>
    </w:p>
    <w:p w14:paraId="7A243396"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Performance Monitoring:</w:t>
      </w:r>
      <w:r w:rsidRPr="000764CC">
        <w:rPr>
          <w:rFonts w:cs="Arial"/>
          <w:szCs w:val="21"/>
        </w:rPr>
        <w:t xml:space="preserve"> throughput and response times.</w:t>
      </w:r>
    </w:p>
    <w:p w14:paraId="59DBF927"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Security Scanning:</w:t>
      </w:r>
      <w:r w:rsidRPr="000764CC">
        <w:rPr>
          <w:rFonts w:cs="Arial"/>
          <w:szCs w:val="21"/>
        </w:rPr>
        <w:t xml:space="preserve"> SAST/DAST/SCA results.</w:t>
      </w:r>
    </w:p>
    <w:p w14:paraId="66F22A27"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Requirements Logs:</w:t>
      </w:r>
      <w:r w:rsidRPr="000764CC">
        <w:rPr>
          <w:rFonts w:cs="Arial"/>
          <w:szCs w:val="21"/>
        </w:rPr>
        <w:t xml:space="preserve"> change volatility.</w:t>
      </w:r>
    </w:p>
    <w:p w14:paraId="002AF241" w14:textId="49BD098B" w:rsidR="000B774A" w:rsidRPr="00A82685" w:rsidRDefault="00A82685" w:rsidP="00A82685">
      <w:pPr>
        <w:spacing w:before="120" w:after="120"/>
        <w:ind w:left="357"/>
        <w:rPr>
          <w:rFonts w:cstheme="minorHAnsi"/>
          <w:color w:val="0D0D0D" w:themeColor="text1" w:themeTint="F2"/>
        </w:rPr>
      </w:pPr>
      <w:r>
        <w:rPr>
          <w:rFonts w:cs="Arial"/>
          <w:i/>
          <w:iCs/>
          <w:noProof/>
          <w:color w:val="0D0D0D" w:themeColor="text1" w:themeTint="F2"/>
          <w:szCs w:val="21"/>
        </w:rPr>
        <w:lastRenderedPageBreak/>
        <w:drawing>
          <wp:anchor distT="0" distB="0" distL="114300" distR="114300" simplePos="0" relativeHeight="251658252" behindDoc="0" locked="0" layoutInCell="1" allowOverlap="1" wp14:anchorId="00E671E0" wp14:editId="3519458B">
            <wp:simplePos x="0" y="0"/>
            <wp:positionH relativeFrom="column">
              <wp:posOffset>847725</wp:posOffset>
            </wp:positionH>
            <wp:positionV relativeFrom="paragraph">
              <wp:posOffset>429901</wp:posOffset>
            </wp:positionV>
            <wp:extent cx="4524375" cy="624205"/>
            <wp:effectExtent l="0" t="0" r="0" b="0"/>
            <wp:wrapTopAndBottom/>
            <wp:docPr id="196513903" name="Picture 2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13903" name="Picture 21" descr="A diagram of a diagram&#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24375" cy="62420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59" behindDoc="0" locked="0" layoutInCell="1" allowOverlap="1" wp14:anchorId="6BA794BD" wp14:editId="5FA9FE5A">
                <wp:simplePos x="0" y="0"/>
                <wp:positionH relativeFrom="column">
                  <wp:posOffset>847725</wp:posOffset>
                </wp:positionH>
                <wp:positionV relativeFrom="paragraph">
                  <wp:posOffset>1120140</wp:posOffset>
                </wp:positionV>
                <wp:extent cx="4524375" cy="635"/>
                <wp:effectExtent l="0" t="0" r="0" b="12065"/>
                <wp:wrapTopAndBottom/>
                <wp:docPr id="879016118" name="Text Box 1"/>
                <wp:cNvGraphicFramePr/>
                <a:graphic xmlns:a="http://schemas.openxmlformats.org/drawingml/2006/main">
                  <a:graphicData uri="http://schemas.microsoft.com/office/word/2010/wordprocessingShape">
                    <wps:wsp>
                      <wps:cNvSpPr txBox="1"/>
                      <wps:spPr>
                        <a:xfrm>
                          <a:off x="0" y="0"/>
                          <a:ext cx="4524375" cy="635"/>
                        </a:xfrm>
                        <a:prstGeom prst="rect">
                          <a:avLst/>
                        </a:prstGeom>
                        <a:solidFill>
                          <a:prstClr val="white"/>
                        </a:solidFill>
                        <a:ln>
                          <a:noFill/>
                        </a:ln>
                      </wps:spPr>
                      <wps:txbx>
                        <w:txbxContent>
                          <w:p w14:paraId="76F06473" w14:textId="69E0B64D" w:rsidR="00A82685" w:rsidRPr="0012028A" w:rsidRDefault="00A82685" w:rsidP="00A82685">
                            <w:pPr>
                              <w:pStyle w:val="Caption"/>
                              <w:jc w:val="center"/>
                              <w:rPr>
                                <w:rFonts w:cs="Arial"/>
                                <w:noProof/>
                                <w:color w:val="0D0D0D" w:themeColor="text1" w:themeTint="F2"/>
                                <w:sz w:val="22"/>
                                <w:szCs w:val="21"/>
                              </w:rPr>
                            </w:pPr>
                            <w:bookmarkStart w:id="35" w:name="_Toc212200119"/>
                            <w:r>
                              <w:t xml:space="preserve">Figure 4.2.2. </w:t>
                            </w:r>
                            <w:r>
                              <w:fldChar w:fldCharType="begin"/>
                            </w:r>
                            <w:r>
                              <w:instrText xml:space="preserve"> SEQ Figure_4.2.2. \* ARABIC </w:instrText>
                            </w:r>
                            <w:r>
                              <w:fldChar w:fldCharType="separate"/>
                            </w:r>
                            <w:r w:rsidR="00FB29F8">
                              <w:rPr>
                                <w:noProof/>
                              </w:rPr>
                              <w:t>2</w:t>
                            </w:r>
                            <w:r>
                              <w:fldChar w:fldCharType="end"/>
                            </w:r>
                            <w:r>
                              <w:t xml:space="preserve"> Risk Signal Pipeline</w:t>
                            </w:r>
                            <w:bookmarkEnd w:id="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A794BD" id="_x0000_s1030" type="#_x0000_t202" style="position:absolute;left:0;text-align:left;margin-left:66.75pt;margin-top:88.2pt;width:356.25pt;height:.05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" stroked="f">
                <v:textbox style="mso-fit-shape-to-text:t" inset="0,0,0,0">
                  <w:txbxContent>
                    <w:p w14:paraId="76F06473" w14:textId="69E0B64D" w:rsidR="00A82685" w:rsidRPr="0012028A" w:rsidRDefault="00A82685" w:rsidP="00A82685">
                      <w:pPr>
                        <w:pStyle w:val="Caption"/>
                        <w:jc w:val="center"/>
                        <w:rPr>
                          <w:rFonts w:cs="Arial"/>
                          <w:noProof/>
                          <w:color w:val="0D0D0D" w:themeColor="text1" w:themeTint="F2"/>
                          <w:sz w:val="22"/>
                          <w:szCs w:val="21"/>
                        </w:rPr>
                      </w:pPr>
                      <w:bookmarkStart w:id="36" w:name="_Toc212200119"/>
                      <w:r>
                        <w:t xml:space="preserve">Figure 4.2.2. </w:t>
                      </w:r>
                      <w:r>
                        <w:fldChar w:fldCharType="begin"/>
                      </w:r>
                      <w:r>
                        <w:instrText xml:space="preserve"> SEQ Figure_4.2.2. \* ARABIC </w:instrText>
                      </w:r>
                      <w:r>
                        <w:fldChar w:fldCharType="separate"/>
                      </w:r>
                      <w:r w:rsidR="00FB29F8">
                        <w:rPr>
                          <w:noProof/>
                        </w:rPr>
                        <w:t>2</w:t>
                      </w:r>
                      <w:r>
                        <w:fldChar w:fldCharType="end"/>
                      </w:r>
                      <w:r>
                        <w:t xml:space="preserve"> Risk Signal Pipeline</w:t>
                      </w:r>
                      <w:bookmarkEnd w:id="36"/>
                    </w:p>
                  </w:txbxContent>
                </v:textbox>
                <w10:wrap type="topAndBottom"/>
              </v:shape>
            </w:pict>
          </mc:Fallback>
        </mc:AlternateContent>
      </w:r>
      <w:r w:rsidR="000764CC" w:rsidRPr="000764CC">
        <w:rPr>
          <w:rFonts w:cstheme="minorHAnsi"/>
          <w:color w:val="0D0D0D" w:themeColor="text1" w:themeTint="F2"/>
        </w:rPr>
        <w:t>Analytics layers apply trend detection, anomaly analysis, NLP clustering, and forecasting to surface emerging issues, validated weekly by subject-matter experts.</w:t>
      </w:r>
    </w:p>
    <w:p w14:paraId="508CB73B" w14:textId="05393ECD"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3.</w:t>
      </w:r>
      <w:r w:rsidRPr="000764CC">
        <w:rPr>
          <w:rFonts w:cs="Arial"/>
          <w:b/>
          <w:bCs/>
          <w:color w:val="0D0D0D" w:themeColor="text1" w:themeTint="F2"/>
          <w:szCs w:val="21"/>
        </w:rPr>
        <w:tab/>
        <w:t>Prioritization and Nomination for Deeper QA</w:t>
      </w:r>
    </w:p>
    <w:p w14:paraId="415E2AB3" w14:textId="77777777" w:rsidR="000764CC" w:rsidRPr="000764CC" w:rsidRDefault="000764CC" w:rsidP="000660C8">
      <w:pPr>
        <w:spacing w:before="120" w:after="120"/>
        <w:ind w:left="360"/>
        <w:rPr>
          <w:rFonts w:cstheme="minorHAnsi"/>
          <w:color w:val="0D0D0D" w:themeColor="text1" w:themeTint="F2"/>
        </w:rPr>
      </w:pPr>
      <w:r w:rsidRPr="000764CC">
        <w:rPr>
          <w:rFonts w:cstheme="minorHAnsi"/>
          <w:color w:val="0D0D0D" w:themeColor="text1" w:themeTint="F2"/>
        </w:rPr>
        <w:t>Validated candidates are prioritized by:</w:t>
      </w:r>
    </w:p>
    <w:p w14:paraId="5498EDD1" w14:textId="77777777" w:rsidR="000764CC" w:rsidRPr="000764CC" w:rsidRDefault="000764CC" w:rsidP="00CF7600">
      <w:pPr>
        <w:numPr>
          <w:ilvl w:val="0"/>
          <w:numId w:val="37"/>
        </w:numPr>
        <w:tabs>
          <w:tab w:val="clear" w:pos="720"/>
          <w:tab w:val="num" w:pos="1080"/>
        </w:tabs>
        <w:spacing w:before="120" w:after="120"/>
        <w:rPr>
          <w:rFonts w:cstheme="minorHAnsi"/>
          <w:color w:val="0D0D0D" w:themeColor="text1" w:themeTint="F2"/>
        </w:rPr>
      </w:pPr>
      <w:r w:rsidRPr="000764CC">
        <w:rPr>
          <w:rFonts w:cstheme="minorHAnsi"/>
          <w:color w:val="0D0D0D" w:themeColor="text1" w:themeTint="F2"/>
        </w:rPr>
        <w:t>Severity of potential impact.</w:t>
      </w:r>
    </w:p>
    <w:p w14:paraId="09E84E22" w14:textId="77777777" w:rsidR="000764CC" w:rsidRPr="000764CC" w:rsidRDefault="000764CC" w:rsidP="00CF7600">
      <w:pPr>
        <w:numPr>
          <w:ilvl w:val="0"/>
          <w:numId w:val="37"/>
        </w:numPr>
        <w:tabs>
          <w:tab w:val="clear" w:pos="720"/>
          <w:tab w:val="num" w:pos="1080"/>
        </w:tabs>
        <w:spacing w:before="120" w:after="120"/>
        <w:rPr>
          <w:rFonts w:cstheme="minorHAnsi"/>
          <w:color w:val="0D0D0D" w:themeColor="text1" w:themeTint="F2"/>
        </w:rPr>
      </w:pPr>
      <w:r w:rsidRPr="000764CC">
        <w:rPr>
          <w:rFonts w:cstheme="minorHAnsi"/>
          <w:color w:val="0D0D0D" w:themeColor="text1" w:themeTint="F2"/>
        </w:rPr>
        <w:t>Proximity to release or mandate deadline.</w:t>
      </w:r>
    </w:p>
    <w:p w14:paraId="300A34B6" w14:textId="77777777" w:rsidR="000764CC" w:rsidRPr="000764CC" w:rsidRDefault="000764CC" w:rsidP="00CF7600">
      <w:pPr>
        <w:numPr>
          <w:ilvl w:val="0"/>
          <w:numId w:val="37"/>
        </w:numPr>
        <w:tabs>
          <w:tab w:val="clear" w:pos="720"/>
          <w:tab w:val="num" w:pos="1080"/>
        </w:tabs>
        <w:spacing w:before="120" w:after="120"/>
        <w:rPr>
          <w:rFonts w:cstheme="minorHAnsi"/>
          <w:color w:val="0D0D0D" w:themeColor="text1" w:themeTint="F2"/>
        </w:rPr>
      </w:pPr>
      <w:r w:rsidRPr="000764CC">
        <w:rPr>
          <w:rFonts w:cstheme="minorHAnsi"/>
          <w:color w:val="0D0D0D" w:themeColor="text1" w:themeTint="F2"/>
        </w:rPr>
        <w:t>Predicted probability (risk score).</w:t>
      </w:r>
    </w:p>
    <w:p w14:paraId="1294F31A" w14:textId="77777777" w:rsidR="000764CC" w:rsidRPr="000764CC" w:rsidRDefault="000764CC" w:rsidP="00CF7600">
      <w:pPr>
        <w:numPr>
          <w:ilvl w:val="0"/>
          <w:numId w:val="37"/>
        </w:numPr>
        <w:tabs>
          <w:tab w:val="clear" w:pos="720"/>
          <w:tab w:val="num" w:pos="1080"/>
        </w:tabs>
        <w:spacing w:before="120" w:after="120"/>
        <w:rPr>
          <w:rFonts w:cstheme="minorHAnsi"/>
          <w:color w:val="0D0D0D" w:themeColor="text1" w:themeTint="F2"/>
        </w:rPr>
      </w:pPr>
      <w:r w:rsidRPr="000764CC">
        <w:rPr>
          <w:rFonts w:cstheme="minorHAnsi"/>
          <w:color w:val="0D0D0D" w:themeColor="text1" w:themeTint="F2"/>
        </w:rPr>
        <w:t>Remediation complexity and cost.</w:t>
      </w:r>
    </w:p>
    <w:p w14:paraId="773EDCC5" w14:textId="77777777" w:rsidR="000764CC" w:rsidRPr="000764CC" w:rsidRDefault="000764CC" w:rsidP="00CF7600">
      <w:pPr>
        <w:numPr>
          <w:ilvl w:val="0"/>
          <w:numId w:val="37"/>
        </w:numPr>
        <w:tabs>
          <w:tab w:val="clear" w:pos="720"/>
          <w:tab w:val="num" w:pos="1080"/>
        </w:tabs>
        <w:spacing w:before="120" w:after="120"/>
        <w:rPr>
          <w:rFonts w:cstheme="minorHAnsi"/>
          <w:color w:val="0D0D0D" w:themeColor="text1" w:themeTint="F2"/>
        </w:rPr>
      </w:pPr>
      <w:r w:rsidRPr="000764CC">
        <w:rPr>
          <w:rFonts w:cstheme="minorHAnsi"/>
          <w:color w:val="0D0D0D" w:themeColor="text1" w:themeTint="F2"/>
        </w:rPr>
        <w:t>Dependency ripple across vendors.</w:t>
      </w:r>
    </w:p>
    <w:p w14:paraId="41A877D7" w14:textId="77777777" w:rsidR="000764CC" w:rsidRPr="000764CC" w:rsidRDefault="000764CC" w:rsidP="000660C8">
      <w:pPr>
        <w:spacing w:before="120" w:after="120"/>
        <w:ind w:left="360"/>
        <w:rPr>
          <w:rFonts w:cstheme="minorHAnsi"/>
          <w:color w:val="0D0D0D" w:themeColor="text1" w:themeTint="F2"/>
        </w:rPr>
      </w:pPr>
      <w:r w:rsidRPr="000764CC">
        <w:rPr>
          <w:rFonts w:cstheme="minorHAnsi"/>
          <w:color w:val="0D0D0D" w:themeColor="text1" w:themeTint="F2"/>
        </w:rPr>
        <w:t xml:space="preserve">High-priority items are nominated in the </w:t>
      </w:r>
      <w:r w:rsidRPr="000764CC">
        <w:rPr>
          <w:rFonts w:cstheme="minorHAnsi"/>
          <w:b/>
          <w:bCs/>
          <w:color w:val="0D0D0D" w:themeColor="text1" w:themeTint="F2"/>
        </w:rPr>
        <w:t>Cross-Vendor Risk Review</w:t>
      </w:r>
      <w:r w:rsidRPr="000764CC">
        <w:rPr>
          <w:rFonts w:cstheme="minorHAnsi"/>
          <w:color w:val="0D0D0D" w:themeColor="text1" w:themeTint="F2"/>
        </w:rPr>
        <w:t xml:space="preserve"> and, if escalated, advanced through the </w:t>
      </w:r>
      <w:r w:rsidRPr="000764CC">
        <w:rPr>
          <w:rFonts w:cstheme="minorHAnsi"/>
          <w:b/>
          <w:bCs/>
          <w:color w:val="0D0D0D" w:themeColor="text1" w:themeTint="F2"/>
        </w:rPr>
        <w:t>Change Control Board (CCB)</w:t>
      </w:r>
      <w:r w:rsidRPr="000764CC">
        <w:rPr>
          <w:rFonts w:cstheme="minorHAnsi"/>
          <w:color w:val="0D0D0D" w:themeColor="text1" w:themeTint="F2"/>
        </w:rPr>
        <w:t xml:space="preserve"> under Consortium authority.</w:t>
      </w:r>
    </w:p>
    <w:p w14:paraId="770A39C3"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4.</w:t>
      </w:r>
      <w:r w:rsidRPr="000764CC">
        <w:rPr>
          <w:rFonts w:cs="Arial"/>
          <w:b/>
          <w:bCs/>
          <w:color w:val="0D0D0D" w:themeColor="text1" w:themeTint="F2"/>
          <w:szCs w:val="21"/>
        </w:rPr>
        <w:tab/>
        <w:t>Integration with CalSAWS Governance (RIM, QA Plan, DED/DEL)</w:t>
      </w:r>
    </w:p>
    <w:p w14:paraId="5E56D2B1" w14:textId="77777777" w:rsidR="000764CC" w:rsidRPr="000764CC" w:rsidRDefault="000764CC" w:rsidP="000660C8">
      <w:pPr>
        <w:spacing w:before="120" w:after="120"/>
        <w:ind w:left="357"/>
        <w:rPr>
          <w:rFonts w:cstheme="minorHAnsi"/>
          <w:color w:val="0D0D0D" w:themeColor="text1" w:themeTint="F2"/>
        </w:rPr>
      </w:pPr>
      <w:r w:rsidRPr="000764CC">
        <w:rPr>
          <w:rFonts w:cstheme="minorHAnsi"/>
          <w:color w:val="0D0D0D" w:themeColor="text1" w:themeTint="F2"/>
        </w:rPr>
        <w:t>IBM’s risk management is fully embedded within CalSAWS governance:</w:t>
      </w:r>
    </w:p>
    <w:p w14:paraId="43DDBD06"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QA risks and issues logged in JIRA/JTM.</w:t>
      </w:r>
    </w:p>
    <w:p w14:paraId="2CA95829"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 xml:space="preserve">Findings incorporated into the </w:t>
      </w:r>
      <w:r w:rsidRPr="000764CC">
        <w:rPr>
          <w:rFonts w:cs="Arial"/>
          <w:b/>
          <w:bCs/>
          <w:szCs w:val="21"/>
        </w:rPr>
        <w:t>Risk and Issue Log (D-QA-05)</w:t>
      </w:r>
      <w:r w:rsidRPr="000764CC">
        <w:rPr>
          <w:rFonts w:cs="Arial"/>
          <w:szCs w:val="21"/>
        </w:rPr>
        <w:t xml:space="preserve"> and reported via </w:t>
      </w:r>
      <w:r w:rsidRPr="000764CC">
        <w:rPr>
          <w:rFonts w:cs="Arial"/>
          <w:b/>
          <w:bCs/>
          <w:szCs w:val="21"/>
        </w:rPr>
        <w:t>QA Metrics (D-QA-04)</w:t>
      </w:r>
      <w:r w:rsidRPr="000764CC">
        <w:rPr>
          <w:rFonts w:cs="Arial"/>
          <w:szCs w:val="21"/>
        </w:rPr>
        <w:t xml:space="preserve"> and </w:t>
      </w:r>
      <w:r w:rsidRPr="000764CC">
        <w:rPr>
          <w:rFonts w:cs="Arial"/>
          <w:b/>
          <w:bCs/>
          <w:szCs w:val="21"/>
        </w:rPr>
        <w:t>Status Reports (D-QA-03)</w:t>
      </w:r>
      <w:r w:rsidRPr="000764CC">
        <w:rPr>
          <w:rFonts w:cs="Arial"/>
          <w:szCs w:val="21"/>
        </w:rPr>
        <w:t>.</w:t>
      </w:r>
    </w:p>
    <w:p w14:paraId="77A7F395"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 xml:space="preserve">All deliverables developed per the </w:t>
      </w:r>
      <w:r w:rsidRPr="000764CC">
        <w:rPr>
          <w:rFonts w:cs="Arial"/>
          <w:b/>
          <w:bCs/>
          <w:szCs w:val="21"/>
        </w:rPr>
        <w:t>Deliverable Management Process</w:t>
      </w:r>
      <w:r w:rsidRPr="000764CC">
        <w:rPr>
          <w:rFonts w:cs="Arial"/>
          <w:szCs w:val="21"/>
        </w:rPr>
        <w:t xml:space="preserve"> (DED → DEL → approval).</w:t>
      </w:r>
    </w:p>
    <w:p w14:paraId="0138A168"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Results validated through PMO-led governance reviews with vendor participation.</w:t>
      </w:r>
    </w:p>
    <w:p w14:paraId="7494B313" w14:textId="77777777" w:rsidR="000764CC" w:rsidRPr="000764CC" w:rsidRDefault="000764CC" w:rsidP="000660C8">
      <w:pPr>
        <w:spacing w:before="120" w:after="120"/>
        <w:ind w:left="357"/>
        <w:rPr>
          <w:rFonts w:cstheme="minorHAnsi"/>
          <w:color w:val="0D0D0D" w:themeColor="text1" w:themeTint="F2"/>
        </w:rPr>
      </w:pPr>
      <w:r w:rsidRPr="000764CC">
        <w:rPr>
          <w:rFonts w:cstheme="minorHAnsi"/>
          <w:color w:val="0D0D0D" w:themeColor="text1" w:themeTint="F2"/>
        </w:rPr>
        <w:t>This integration provides a single auditable path from detection to resolution.</w:t>
      </w:r>
    </w:p>
    <w:p w14:paraId="07A6C4C3"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5.</w:t>
      </w:r>
      <w:r w:rsidRPr="000764CC">
        <w:rPr>
          <w:rFonts w:cs="Arial"/>
          <w:b/>
          <w:bCs/>
          <w:color w:val="0D0D0D" w:themeColor="text1" w:themeTint="F2"/>
          <w:szCs w:val="21"/>
        </w:rPr>
        <w:tab/>
        <w:t>Governance Roles and Review Cadence</w:t>
      </w:r>
    </w:p>
    <w:p w14:paraId="23D7183A" w14:textId="77777777" w:rsidR="000764CC" w:rsidRPr="000764CC" w:rsidRDefault="000764CC" w:rsidP="000660C8">
      <w:pPr>
        <w:spacing w:before="120" w:after="120"/>
        <w:ind w:left="357"/>
        <w:rPr>
          <w:rFonts w:cstheme="minorHAnsi"/>
          <w:color w:val="0D0D0D" w:themeColor="text1" w:themeTint="F2"/>
        </w:rPr>
      </w:pPr>
      <w:r w:rsidRPr="000764CC">
        <w:rPr>
          <w:rFonts w:cstheme="minorHAnsi"/>
          <w:color w:val="0D0D0D" w:themeColor="text1" w:themeTint="F2"/>
        </w:rPr>
        <w:t>IBM aligns to CalSAWS’ existing multi-vendor rhythm:</w:t>
      </w:r>
    </w:p>
    <w:p w14:paraId="0DC92311"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Daily Triage:</w:t>
      </w:r>
      <w:r w:rsidRPr="000764CC">
        <w:rPr>
          <w:rFonts w:cs="Arial"/>
          <w:szCs w:val="21"/>
        </w:rPr>
        <w:t xml:space="preserve"> Immediate issue review and remediation.</w:t>
      </w:r>
    </w:p>
    <w:p w14:paraId="78530D47"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Weekly Cross-Vendor Risk Review:</w:t>
      </w:r>
      <w:r w:rsidRPr="000764CC">
        <w:rPr>
          <w:rFonts w:cs="Arial"/>
          <w:szCs w:val="21"/>
        </w:rPr>
        <w:t xml:space="preserve"> Present candidate list and playbook plans.</w:t>
      </w:r>
    </w:p>
    <w:p w14:paraId="25314F49" w14:textId="0B37E9A5" w:rsidR="000764CC" w:rsidRPr="000764CC" w:rsidRDefault="000764CC" w:rsidP="000660C8">
      <w:pPr>
        <w:numPr>
          <w:ilvl w:val="0"/>
          <w:numId w:val="11"/>
        </w:numPr>
        <w:spacing w:before="60"/>
        <w:ind w:left="714" w:hanging="357"/>
        <w:rPr>
          <w:rFonts w:cs="Arial"/>
          <w:szCs w:val="21"/>
        </w:rPr>
      </w:pPr>
      <w:r w:rsidRPr="000764CC">
        <w:rPr>
          <w:rFonts w:cs="Arial"/>
          <w:b/>
          <w:bCs/>
          <w:szCs w:val="21"/>
        </w:rPr>
        <w:t>Monthly Executive Risk Brief:</w:t>
      </w:r>
      <w:r w:rsidRPr="000764CC">
        <w:rPr>
          <w:rFonts w:cs="Arial"/>
          <w:szCs w:val="21"/>
        </w:rPr>
        <w:t xml:space="preserve"> Summarize top risks and mitigation progress.</w:t>
      </w:r>
    </w:p>
    <w:p w14:paraId="35E2ED5F" w14:textId="05F75E81" w:rsidR="00DA5C76" w:rsidRDefault="000764CC" w:rsidP="000660C8">
      <w:pPr>
        <w:numPr>
          <w:ilvl w:val="0"/>
          <w:numId w:val="11"/>
        </w:numPr>
        <w:spacing w:before="60"/>
        <w:ind w:left="714" w:hanging="357"/>
        <w:rPr>
          <w:rFonts w:cs="Arial"/>
          <w:szCs w:val="21"/>
        </w:rPr>
      </w:pPr>
      <w:r w:rsidRPr="000764CC">
        <w:rPr>
          <w:rFonts w:cs="Arial"/>
          <w:b/>
          <w:bCs/>
          <w:szCs w:val="21"/>
        </w:rPr>
        <w:t>Quarterly Program Retrospective:</w:t>
      </w:r>
      <w:r w:rsidRPr="000764CC">
        <w:rPr>
          <w:rFonts w:cs="Arial"/>
          <w:szCs w:val="21"/>
        </w:rPr>
        <w:t xml:space="preserve"> Evaluate model accuracy and process effectiveness.</w:t>
      </w:r>
    </w:p>
    <w:p w14:paraId="4846EAAD" w14:textId="1CD5D906" w:rsidR="00A1545B" w:rsidRDefault="00A1545B" w:rsidP="00A1545B">
      <w:pPr>
        <w:pStyle w:val="Caption"/>
        <w:keepNext/>
        <w:jc w:val="center"/>
      </w:pPr>
      <w:bookmarkStart w:id="37" w:name="_Toc213069371"/>
      <w:r>
        <w:t xml:space="preserve">Table 4.2.2. </w:t>
      </w:r>
      <w:r>
        <w:fldChar w:fldCharType="begin"/>
      </w:r>
      <w:r>
        <w:instrText xml:space="preserve"> SEQ Table_4.2.2. \* ARABIC </w:instrText>
      </w:r>
      <w:r>
        <w:fldChar w:fldCharType="separate"/>
      </w:r>
      <w:r>
        <w:rPr>
          <w:noProof/>
        </w:rPr>
        <w:t>1</w:t>
      </w:r>
      <w:r>
        <w:fldChar w:fldCharType="end"/>
      </w:r>
      <w:r>
        <w:t xml:space="preserve"> Governance Roles and Review Cadence</w:t>
      </w:r>
      <w:bookmarkEnd w:id="37"/>
    </w:p>
    <w:tbl>
      <w:tblPr>
        <w:tblStyle w:val="TableGrid10"/>
        <w:tblW w:w="0" w:type="auto"/>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00"/>
        <w:gridCol w:w="1440"/>
        <w:gridCol w:w="4674"/>
      </w:tblGrid>
      <w:tr w:rsidR="00AB3F95" w:rsidRPr="00AB3F95" w14:paraId="7B23EB6D" w14:textId="77777777" w:rsidTr="00E97E0B">
        <w:trPr>
          <w:cnfStyle w:val="100000000000" w:firstRow="1" w:lastRow="0" w:firstColumn="0" w:lastColumn="0" w:oddVBand="0" w:evenVBand="0" w:oddHBand="0" w:evenHBand="0" w:firstRowFirstColumn="0" w:firstRowLastColumn="0" w:lastRowFirstColumn="0" w:lastRowLastColumn="0"/>
          <w:trHeight w:val="468"/>
        </w:trPr>
        <w:tc>
          <w:tcPr>
            <w:tcW w:w="2700" w:type="dxa"/>
            <w:shd w:val="clear" w:color="auto" w:fill="0070C0"/>
            <w:vAlign w:val="center"/>
          </w:tcPr>
          <w:p w14:paraId="0919128B" w14:textId="0393F806" w:rsidR="00AB3F95" w:rsidRPr="00725431" w:rsidRDefault="00AB3F95" w:rsidP="00AB3F95">
            <w:pPr>
              <w:rPr>
                <w:b/>
                <w:bCs/>
                <w:color w:val="FFFFFF" w:themeColor="background1"/>
                <w:sz w:val="20"/>
                <w:szCs w:val="20"/>
              </w:rPr>
            </w:pPr>
            <w:r w:rsidRPr="00725431">
              <w:rPr>
                <w:b/>
                <w:bCs/>
                <w:color w:val="FFFFFF" w:themeColor="background1"/>
                <w:sz w:val="20"/>
                <w:szCs w:val="20"/>
              </w:rPr>
              <w:t>Meeting Type</w:t>
            </w:r>
          </w:p>
        </w:tc>
        <w:tc>
          <w:tcPr>
            <w:tcW w:w="1440" w:type="dxa"/>
            <w:shd w:val="clear" w:color="auto" w:fill="0070C0"/>
            <w:vAlign w:val="center"/>
          </w:tcPr>
          <w:p w14:paraId="21E90922" w14:textId="788DE6C3" w:rsidR="00AB3F95" w:rsidRPr="00725431" w:rsidRDefault="00AB3F95" w:rsidP="00AB3F95">
            <w:pPr>
              <w:rPr>
                <w:b/>
                <w:bCs/>
                <w:color w:val="FFFFFF" w:themeColor="background1"/>
                <w:sz w:val="20"/>
                <w:szCs w:val="20"/>
              </w:rPr>
            </w:pPr>
            <w:r w:rsidRPr="00725431">
              <w:rPr>
                <w:b/>
                <w:bCs/>
                <w:color w:val="FFFFFF" w:themeColor="background1"/>
                <w:sz w:val="20"/>
                <w:szCs w:val="20"/>
              </w:rPr>
              <w:t>Frequency</w:t>
            </w:r>
          </w:p>
        </w:tc>
        <w:tc>
          <w:tcPr>
            <w:tcW w:w="4674" w:type="dxa"/>
            <w:shd w:val="clear" w:color="auto" w:fill="0070C0"/>
            <w:vAlign w:val="center"/>
          </w:tcPr>
          <w:p w14:paraId="041029E5" w14:textId="28FA22A9" w:rsidR="00AB3F95" w:rsidRPr="00725431" w:rsidRDefault="00AB3F95" w:rsidP="00AB3F95">
            <w:pPr>
              <w:rPr>
                <w:b/>
                <w:bCs/>
                <w:color w:val="FFFFFF" w:themeColor="background1"/>
                <w:sz w:val="20"/>
                <w:szCs w:val="20"/>
              </w:rPr>
            </w:pPr>
            <w:r w:rsidRPr="00725431">
              <w:rPr>
                <w:b/>
                <w:bCs/>
                <w:color w:val="FFFFFF" w:themeColor="background1"/>
                <w:sz w:val="20"/>
                <w:szCs w:val="20"/>
              </w:rPr>
              <w:t>Discussion Topics</w:t>
            </w:r>
          </w:p>
        </w:tc>
      </w:tr>
      <w:tr w:rsidR="00AB3F95" w:rsidRPr="00AB3F95" w14:paraId="0170DA6D" w14:textId="77777777" w:rsidTr="00E97E0B">
        <w:trPr>
          <w:trHeight w:val="567"/>
        </w:trPr>
        <w:tc>
          <w:tcPr>
            <w:tcW w:w="2700" w:type="dxa"/>
            <w:vAlign w:val="center"/>
          </w:tcPr>
          <w:p w14:paraId="2C0BA3C1" w14:textId="1F2330BD" w:rsidR="00AB3F95" w:rsidRPr="00AB3F95" w:rsidRDefault="00AB3F95" w:rsidP="00AB3F95">
            <w:pPr>
              <w:rPr>
                <w:sz w:val="20"/>
                <w:szCs w:val="20"/>
              </w:rPr>
            </w:pPr>
            <w:r>
              <w:rPr>
                <w:sz w:val="20"/>
                <w:szCs w:val="20"/>
              </w:rPr>
              <w:t>Triage</w:t>
            </w:r>
          </w:p>
        </w:tc>
        <w:tc>
          <w:tcPr>
            <w:tcW w:w="1440" w:type="dxa"/>
            <w:vAlign w:val="center"/>
          </w:tcPr>
          <w:p w14:paraId="5595FB9A" w14:textId="19B9A3C5" w:rsidR="00AB3F95" w:rsidRPr="00AB3F95" w:rsidRDefault="00AB3F95" w:rsidP="00AB3F95">
            <w:pPr>
              <w:rPr>
                <w:sz w:val="20"/>
                <w:szCs w:val="20"/>
              </w:rPr>
            </w:pPr>
            <w:r>
              <w:rPr>
                <w:sz w:val="20"/>
                <w:szCs w:val="20"/>
              </w:rPr>
              <w:t>Daily</w:t>
            </w:r>
          </w:p>
        </w:tc>
        <w:tc>
          <w:tcPr>
            <w:tcW w:w="4674" w:type="dxa"/>
            <w:vAlign w:val="center"/>
          </w:tcPr>
          <w:p w14:paraId="75E230A3" w14:textId="75A7EFD5" w:rsidR="00AB3F95" w:rsidRPr="00AB3F95" w:rsidRDefault="00AB3F95" w:rsidP="00AB3F95">
            <w:pPr>
              <w:rPr>
                <w:sz w:val="20"/>
                <w:szCs w:val="20"/>
              </w:rPr>
            </w:pPr>
            <w:r>
              <w:rPr>
                <w:sz w:val="20"/>
                <w:szCs w:val="20"/>
              </w:rPr>
              <w:t>Immediate issue review and remediation</w:t>
            </w:r>
          </w:p>
        </w:tc>
      </w:tr>
      <w:tr w:rsidR="00AB3F95" w:rsidRPr="00AB3F95" w14:paraId="1D5195B6" w14:textId="77777777" w:rsidTr="00E97E0B">
        <w:trPr>
          <w:trHeight w:val="567"/>
        </w:trPr>
        <w:tc>
          <w:tcPr>
            <w:tcW w:w="2700" w:type="dxa"/>
            <w:vAlign w:val="center"/>
          </w:tcPr>
          <w:p w14:paraId="617828CA" w14:textId="266B9A3A" w:rsidR="00AB3F95" w:rsidRPr="00AB3F95" w:rsidRDefault="00AB3F95" w:rsidP="00AB3F95">
            <w:pPr>
              <w:rPr>
                <w:sz w:val="20"/>
                <w:szCs w:val="20"/>
              </w:rPr>
            </w:pPr>
            <w:r>
              <w:rPr>
                <w:sz w:val="20"/>
                <w:szCs w:val="20"/>
              </w:rPr>
              <w:lastRenderedPageBreak/>
              <w:t>Cross-Vendor Risk Review</w:t>
            </w:r>
          </w:p>
        </w:tc>
        <w:tc>
          <w:tcPr>
            <w:tcW w:w="1440" w:type="dxa"/>
            <w:vAlign w:val="center"/>
          </w:tcPr>
          <w:p w14:paraId="59C1B921" w14:textId="5D06ACEB" w:rsidR="00AB3F95" w:rsidRPr="00AB3F95" w:rsidRDefault="00AB3F95" w:rsidP="00AB3F95">
            <w:pPr>
              <w:rPr>
                <w:sz w:val="20"/>
                <w:szCs w:val="20"/>
              </w:rPr>
            </w:pPr>
            <w:r>
              <w:rPr>
                <w:sz w:val="20"/>
                <w:szCs w:val="20"/>
              </w:rPr>
              <w:t>Weekly</w:t>
            </w:r>
          </w:p>
        </w:tc>
        <w:tc>
          <w:tcPr>
            <w:tcW w:w="4674" w:type="dxa"/>
            <w:vAlign w:val="center"/>
          </w:tcPr>
          <w:p w14:paraId="77E813EE" w14:textId="22E80731" w:rsidR="00AB3F95" w:rsidRPr="00AB3F95" w:rsidRDefault="00AB3F95" w:rsidP="00AB3F95">
            <w:pPr>
              <w:rPr>
                <w:sz w:val="20"/>
                <w:szCs w:val="20"/>
              </w:rPr>
            </w:pPr>
            <w:r>
              <w:rPr>
                <w:sz w:val="20"/>
                <w:szCs w:val="20"/>
              </w:rPr>
              <w:t>Present candidate list and playbook plans</w:t>
            </w:r>
          </w:p>
        </w:tc>
      </w:tr>
      <w:tr w:rsidR="00AB3F95" w:rsidRPr="00AB3F95" w14:paraId="45015E9E" w14:textId="77777777" w:rsidTr="00E97E0B">
        <w:trPr>
          <w:trHeight w:val="567"/>
        </w:trPr>
        <w:tc>
          <w:tcPr>
            <w:tcW w:w="2700" w:type="dxa"/>
            <w:vAlign w:val="center"/>
          </w:tcPr>
          <w:p w14:paraId="5DE93185" w14:textId="7C408F94" w:rsidR="00AB3F95" w:rsidRPr="00AB3F95" w:rsidRDefault="00AB3F95" w:rsidP="00AB3F95">
            <w:pPr>
              <w:rPr>
                <w:sz w:val="20"/>
                <w:szCs w:val="20"/>
              </w:rPr>
            </w:pPr>
            <w:r>
              <w:rPr>
                <w:sz w:val="20"/>
                <w:szCs w:val="20"/>
              </w:rPr>
              <w:t>Executive Risk Brief</w:t>
            </w:r>
          </w:p>
        </w:tc>
        <w:tc>
          <w:tcPr>
            <w:tcW w:w="1440" w:type="dxa"/>
            <w:vAlign w:val="center"/>
          </w:tcPr>
          <w:p w14:paraId="561DA351" w14:textId="1730A739" w:rsidR="00AB3F95" w:rsidRPr="00AB3F95" w:rsidRDefault="00AB3F95" w:rsidP="00AB3F95">
            <w:pPr>
              <w:rPr>
                <w:sz w:val="20"/>
                <w:szCs w:val="20"/>
              </w:rPr>
            </w:pPr>
            <w:r>
              <w:rPr>
                <w:sz w:val="20"/>
                <w:szCs w:val="20"/>
              </w:rPr>
              <w:t>Monthly</w:t>
            </w:r>
          </w:p>
        </w:tc>
        <w:tc>
          <w:tcPr>
            <w:tcW w:w="4674" w:type="dxa"/>
            <w:vAlign w:val="center"/>
          </w:tcPr>
          <w:p w14:paraId="4A0F38C3" w14:textId="1D0F7E95" w:rsidR="00AB3F95" w:rsidRPr="00AB3F95" w:rsidRDefault="00AB3F95" w:rsidP="00AB3F95">
            <w:pPr>
              <w:rPr>
                <w:sz w:val="20"/>
                <w:szCs w:val="20"/>
              </w:rPr>
            </w:pPr>
            <w:r>
              <w:rPr>
                <w:sz w:val="20"/>
                <w:szCs w:val="20"/>
              </w:rPr>
              <w:t>Summarize top risks and mitigation progress</w:t>
            </w:r>
          </w:p>
        </w:tc>
      </w:tr>
      <w:tr w:rsidR="00AB3F95" w:rsidRPr="00AB3F95" w14:paraId="5A00F658" w14:textId="77777777" w:rsidTr="00E97E0B">
        <w:trPr>
          <w:trHeight w:val="567"/>
        </w:trPr>
        <w:tc>
          <w:tcPr>
            <w:tcW w:w="2700" w:type="dxa"/>
            <w:vAlign w:val="center"/>
          </w:tcPr>
          <w:p w14:paraId="60979BB4" w14:textId="4660A909" w:rsidR="00AB3F95" w:rsidRPr="00AB3F95" w:rsidRDefault="00AB3F95" w:rsidP="00AB3F95">
            <w:pPr>
              <w:rPr>
                <w:sz w:val="20"/>
                <w:szCs w:val="20"/>
              </w:rPr>
            </w:pPr>
            <w:r>
              <w:rPr>
                <w:sz w:val="20"/>
                <w:szCs w:val="20"/>
              </w:rPr>
              <w:t>Program Retrospective</w:t>
            </w:r>
          </w:p>
        </w:tc>
        <w:tc>
          <w:tcPr>
            <w:tcW w:w="1440" w:type="dxa"/>
            <w:vAlign w:val="center"/>
          </w:tcPr>
          <w:p w14:paraId="333D2D18" w14:textId="67505D16" w:rsidR="00AB3F95" w:rsidRPr="00AB3F95" w:rsidRDefault="00AB3F95" w:rsidP="00AB3F95">
            <w:pPr>
              <w:rPr>
                <w:sz w:val="20"/>
                <w:szCs w:val="20"/>
              </w:rPr>
            </w:pPr>
            <w:r>
              <w:rPr>
                <w:sz w:val="20"/>
                <w:szCs w:val="20"/>
              </w:rPr>
              <w:t>Quarterly</w:t>
            </w:r>
          </w:p>
        </w:tc>
        <w:tc>
          <w:tcPr>
            <w:tcW w:w="4674" w:type="dxa"/>
            <w:vAlign w:val="center"/>
          </w:tcPr>
          <w:p w14:paraId="4CF7D05A" w14:textId="5AA8D55D" w:rsidR="00AB3F95" w:rsidRPr="00AB3F95" w:rsidRDefault="00AB3F95" w:rsidP="00AB3F95">
            <w:pPr>
              <w:rPr>
                <w:sz w:val="20"/>
                <w:szCs w:val="20"/>
              </w:rPr>
            </w:pPr>
            <w:r>
              <w:rPr>
                <w:sz w:val="20"/>
                <w:szCs w:val="20"/>
              </w:rPr>
              <w:t>Evaluate model accuracy and process effectiveness</w:t>
            </w:r>
          </w:p>
        </w:tc>
      </w:tr>
    </w:tbl>
    <w:p w14:paraId="59667C2E" w14:textId="77777777" w:rsidR="004C5B1E" w:rsidRPr="004C5B1E" w:rsidRDefault="004C5B1E" w:rsidP="004C5B1E">
      <w:pPr>
        <w:rPr>
          <w:highlight w:val="yellow"/>
        </w:rPr>
      </w:pPr>
    </w:p>
    <w:p w14:paraId="5F6AEF9F" w14:textId="5B8E889D"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6.</w:t>
      </w:r>
      <w:r w:rsidRPr="000764CC">
        <w:rPr>
          <w:rFonts w:cs="Arial"/>
          <w:b/>
          <w:bCs/>
          <w:color w:val="0D0D0D" w:themeColor="text1" w:themeTint="F2"/>
          <w:szCs w:val="21"/>
        </w:rPr>
        <w:tab/>
        <w:t>Tooling and Integration</w:t>
      </w:r>
    </w:p>
    <w:p w14:paraId="24779F19" w14:textId="3FFFC5AA" w:rsidR="000764CC" w:rsidRPr="000764CC" w:rsidRDefault="000764CC" w:rsidP="000660C8">
      <w:pPr>
        <w:spacing w:before="120" w:after="120"/>
        <w:ind w:left="360"/>
        <w:rPr>
          <w:rFonts w:cstheme="minorHAnsi"/>
          <w:color w:val="0D0D0D" w:themeColor="text1" w:themeTint="F2"/>
        </w:rPr>
      </w:pPr>
      <w:r w:rsidRPr="000764CC">
        <w:rPr>
          <w:rFonts w:cstheme="minorHAnsi"/>
          <w:color w:val="0D0D0D" w:themeColor="text1" w:themeTint="F2"/>
        </w:rPr>
        <w:t>IBM enhances the CalSAWS toolchain without disruption.</w:t>
      </w:r>
    </w:p>
    <w:p w14:paraId="1C1F50FC" w14:textId="355E6DF1" w:rsidR="000764CC" w:rsidRPr="000764CC" w:rsidRDefault="000764CC" w:rsidP="000660C8">
      <w:pPr>
        <w:spacing w:before="120" w:after="120"/>
        <w:ind w:left="360"/>
        <w:rPr>
          <w:rFonts w:cs="Arial"/>
          <w:b/>
          <w:bCs/>
          <w:color w:val="0D0D0D" w:themeColor="text1" w:themeTint="F2"/>
          <w:szCs w:val="21"/>
        </w:rPr>
      </w:pPr>
      <w:r w:rsidRPr="000764CC">
        <w:rPr>
          <w:rFonts w:cs="Arial"/>
          <w:b/>
          <w:bCs/>
          <w:color w:val="0D0D0D" w:themeColor="text1" w:themeTint="F2"/>
          <w:szCs w:val="21"/>
        </w:rPr>
        <w:t>Integration Pattern</w:t>
      </w:r>
    </w:p>
    <w:p w14:paraId="78729149" w14:textId="4D544118" w:rsidR="000764CC" w:rsidRPr="000764CC" w:rsidRDefault="000764CC" w:rsidP="00CF7600">
      <w:pPr>
        <w:numPr>
          <w:ilvl w:val="0"/>
          <w:numId w:val="36"/>
        </w:numPr>
        <w:tabs>
          <w:tab w:val="clear" w:pos="720"/>
          <w:tab w:val="left" w:pos="360"/>
          <w:tab w:val="num" w:pos="1080"/>
        </w:tabs>
        <w:spacing w:before="120" w:after="120"/>
        <w:rPr>
          <w:rFonts w:cstheme="minorHAnsi"/>
          <w:color w:val="0D0D0D" w:themeColor="text1" w:themeTint="F2"/>
        </w:rPr>
      </w:pPr>
      <w:r w:rsidRPr="000764CC">
        <w:rPr>
          <w:rFonts w:cstheme="minorHAnsi"/>
          <w:color w:val="0D0D0D" w:themeColor="text1" w:themeTint="F2"/>
        </w:rPr>
        <w:t>Ingest data from JIRA/JTM, CI/CD, SCM, monitoring tools.</w:t>
      </w:r>
    </w:p>
    <w:p w14:paraId="5E3C9122" w14:textId="14E2C860" w:rsidR="000764CC" w:rsidRPr="000764CC" w:rsidRDefault="000764CC" w:rsidP="00CF7600">
      <w:pPr>
        <w:numPr>
          <w:ilvl w:val="0"/>
          <w:numId w:val="36"/>
        </w:numPr>
        <w:tabs>
          <w:tab w:val="clear" w:pos="720"/>
          <w:tab w:val="left" w:pos="360"/>
          <w:tab w:val="num" w:pos="1080"/>
        </w:tabs>
        <w:spacing w:before="120" w:after="120"/>
        <w:rPr>
          <w:rFonts w:cstheme="minorHAnsi"/>
          <w:color w:val="0D0D0D" w:themeColor="text1" w:themeTint="F2"/>
        </w:rPr>
      </w:pPr>
      <w:r w:rsidRPr="000764CC">
        <w:rPr>
          <w:rFonts w:cstheme="minorHAnsi"/>
          <w:color w:val="0D0D0D" w:themeColor="text1" w:themeTint="F2"/>
        </w:rPr>
        <w:t>Normalize and link artifacts for traceability.</w:t>
      </w:r>
    </w:p>
    <w:p w14:paraId="5498A9AE" w14:textId="32DEB7BB" w:rsidR="000764CC" w:rsidRPr="000764CC" w:rsidRDefault="000764CC" w:rsidP="00CF7600">
      <w:pPr>
        <w:numPr>
          <w:ilvl w:val="0"/>
          <w:numId w:val="36"/>
        </w:numPr>
        <w:tabs>
          <w:tab w:val="clear" w:pos="720"/>
          <w:tab w:val="left" w:pos="360"/>
          <w:tab w:val="num" w:pos="1080"/>
        </w:tabs>
        <w:spacing w:before="120" w:after="120"/>
        <w:rPr>
          <w:rFonts w:cstheme="minorHAnsi"/>
          <w:color w:val="0D0D0D" w:themeColor="text1" w:themeTint="F2"/>
        </w:rPr>
      </w:pPr>
      <w:r w:rsidRPr="000764CC">
        <w:rPr>
          <w:rFonts w:cstheme="minorHAnsi"/>
          <w:color w:val="0D0D0D" w:themeColor="text1" w:themeTint="F2"/>
        </w:rPr>
        <w:t>Apply analytics and risk scoring in IQP+.</w:t>
      </w:r>
    </w:p>
    <w:p w14:paraId="7FB25A5D" w14:textId="77777777" w:rsidR="000764CC" w:rsidRPr="000764CC" w:rsidRDefault="000764CC" w:rsidP="00CF7600">
      <w:pPr>
        <w:numPr>
          <w:ilvl w:val="0"/>
          <w:numId w:val="36"/>
        </w:numPr>
        <w:tabs>
          <w:tab w:val="clear" w:pos="720"/>
          <w:tab w:val="left" w:pos="360"/>
          <w:tab w:val="num" w:pos="1080"/>
        </w:tabs>
        <w:spacing w:before="120" w:after="120"/>
        <w:rPr>
          <w:rFonts w:cstheme="minorHAnsi"/>
          <w:color w:val="0D0D0D" w:themeColor="text1" w:themeTint="F2"/>
        </w:rPr>
      </w:pPr>
      <w:r w:rsidRPr="000764CC">
        <w:rPr>
          <w:rFonts w:cstheme="minorHAnsi"/>
          <w:color w:val="0D0D0D" w:themeColor="text1" w:themeTint="F2"/>
        </w:rPr>
        <w:t>Publish metrics to Consortium dashboards.</w:t>
      </w:r>
    </w:p>
    <w:p w14:paraId="7841A009" w14:textId="77777777" w:rsidR="000764CC" w:rsidRPr="000764CC" w:rsidRDefault="000764CC" w:rsidP="000660C8">
      <w:pPr>
        <w:spacing w:before="120" w:after="120"/>
        <w:ind w:left="360"/>
        <w:rPr>
          <w:rFonts w:cs="Arial"/>
          <w:b/>
          <w:bCs/>
          <w:color w:val="0D0D0D" w:themeColor="text1" w:themeTint="F2"/>
          <w:szCs w:val="21"/>
        </w:rPr>
      </w:pPr>
      <w:r w:rsidRPr="000764CC">
        <w:rPr>
          <w:rFonts w:cs="Arial"/>
          <w:b/>
          <w:bCs/>
          <w:color w:val="0D0D0D" w:themeColor="text1" w:themeTint="F2"/>
          <w:szCs w:val="21"/>
        </w:rPr>
        <w:t>Core Tools</w:t>
      </w:r>
    </w:p>
    <w:p w14:paraId="08A57C06"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JIRA / JTM (Consortium standard) — single source of truth.</w:t>
      </w:r>
    </w:p>
    <w:p w14:paraId="4F93A44E"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IQP+ (Intelligent Quality Platform Plus) — predictive analytics and NLP clustering.</w:t>
      </w:r>
    </w:p>
    <w:p w14:paraId="6E133207"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Quality Index Dashboard — real-time visual KPIs.</w:t>
      </w:r>
    </w:p>
    <w:p w14:paraId="717333BF"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Service Virtualization and Load Testing tools.</w:t>
      </w:r>
    </w:p>
    <w:p w14:paraId="6B95144E"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GenAI Test Data Generator — privacy-preserving synthetic data.</w:t>
      </w:r>
    </w:p>
    <w:p w14:paraId="4FE057A7" w14:textId="7503DAB3" w:rsidR="00D87A14" w:rsidRPr="00A82685" w:rsidRDefault="00A82685" w:rsidP="00A82685">
      <w:pPr>
        <w:spacing w:before="120" w:after="120"/>
        <w:ind w:left="360"/>
        <w:rPr>
          <w:rFonts w:cstheme="minorHAnsi"/>
          <w:color w:val="0D0D0D" w:themeColor="text1" w:themeTint="F2"/>
        </w:rPr>
      </w:pPr>
      <w:r>
        <w:rPr>
          <w:noProof/>
        </w:rPr>
        <mc:AlternateContent>
          <mc:Choice Requires="wps">
            <w:drawing>
              <wp:anchor distT="0" distB="0" distL="114300" distR="114300" simplePos="0" relativeHeight="251658260" behindDoc="0" locked="0" layoutInCell="1" allowOverlap="1" wp14:anchorId="7D521E37" wp14:editId="1947A3E7">
                <wp:simplePos x="0" y="0"/>
                <wp:positionH relativeFrom="column">
                  <wp:posOffset>216535</wp:posOffset>
                </wp:positionH>
                <wp:positionV relativeFrom="paragraph">
                  <wp:posOffset>1478280</wp:posOffset>
                </wp:positionV>
                <wp:extent cx="5570855" cy="635"/>
                <wp:effectExtent l="0" t="0" r="4445" b="12065"/>
                <wp:wrapTopAndBottom/>
                <wp:docPr id="423948848" name="Text Box 1"/>
                <wp:cNvGraphicFramePr/>
                <a:graphic xmlns:a="http://schemas.openxmlformats.org/drawingml/2006/main">
                  <a:graphicData uri="http://schemas.microsoft.com/office/word/2010/wordprocessingShape">
                    <wps:wsp>
                      <wps:cNvSpPr txBox="1"/>
                      <wps:spPr>
                        <a:xfrm>
                          <a:off x="0" y="0"/>
                          <a:ext cx="5570855" cy="635"/>
                        </a:xfrm>
                        <a:prstGeom prst="rect">
                          <a:avLst/>
                        </a:prstGeom>
                        <a:solidFill>
                          <a:prstClr val="white"/>
                        </a:solidFill>
                        <a:ln>
                          <a:noFill/>
                        </a:ln>
                      </wps:spPr>
                      <wps:txbx>
                        <w:txbxContent>
                          <w:p w14:paraId="620C7B47" w14:textId="3940C65A" w:rsidR="00A82685" w:rsidRPr="00374033" w:rsidRDefault="00A82685" w:rsidP="00A82685">
                            <w:pPr>
                              <w:pStyle w:val="Caption"/>
                              <w:jc w:val="center"/>
                              <w:rPr>
                                <w:rFonts w:cstheme="minorHAnsi"/>
                                <w:noProof/>
                                <w:color w:val="0D0D0D" w:themeColor="text1" w:themeTint="F2"/>
                                <w:sz w:val="22"/>
                                <w:szCs w:val="22"/>
                              </w:rPr>
                            </w:pPr>
                            <w:bookmarkStart w:id="38" w:name="_Toc212200120"/>
                            <w:r>
                              <w:t xml:space="preserve">Figure 4.2.2. </w:t>
                            </w:r>
                            <w:r>
                              <w:fldChar w:fldCharType="begin"/>
                            </w:r>
                            <w:r>
                              <w:instrText xml:space="preserve"> SEQ Figure_4.2.2. \* ARABIC </w:instrText>
                            </w:r>
                            <w:r>
                              <w:fldChar w:fldCharType="separate"/>
                            </w:r>
                            <w:r w:rsidR="00FB29F8">
                              <w:rPr>
                                <w:noProof/>
                              </w:rPr>
                              <w:t>3</w:t>
                            </w:r>
                            <w:r>
                              <w:fldChar w:fldCharType="end"/>
                            </w:r>
                            <w:r>
                              <w:t xml:space="preserve"> Tool Integration Architecture</w:t>
                            </w:r>
                            <w:bookmarkEnd w:id="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521E37" id="_x0000_s1031" type="#_x0000_t202" style="position:absolute;left:0;text-align:left;margin-left:17.05pt;margin-top:116.4pt;width:438.65pt;height:.05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" stroked="f">
                <v:textbox style="mso-fit-shape-to-text:t" inset="0,0,0,0">
                  <w:txbxContent>
                    <w:p w14:paraId="620C7B47" w14:textId="3940C65A" w:rsidR="00A82685" w:rsidRPr="00374033" w:rsidRDefault="00A82685" w:rsidP="00A82685">
                      <w:pPr>
                        <w:pStyle w:val="Caption"/>
                        <w:jc w:val="center"/>
                        <w:rPr>
                          <w:rFonts w:cstheme="minorHAnsi"/>
                          <w:noProof/>
                          <w:color w:val="0D0D0D" w:themeColor="text1" w:themeTint="F2"/>
                          <w:sz w:val="22"/>
                          <w:szCs w:val="22"/>
                        </w:rPr>
                      </w:pPr>
                      <w:bookmarkStart w:id="39" w:name="_Toc212200120"/>
                      <w:r>
                        <w:t xml:space="preserve">Figure 4.2.2. </w:t>
                      </w:r>
                      <w:r>
                        <w:fldChar w:fldCharType="begin"/>
                      </w:r>
                      <w:r>
                        <w:instrText xml:space="preserve"> SEQ Figure_4.2.2. \* ARABIC </w:instrText>
                      </w:r>
                      <w:r>
                        <w:fldChar w:fldCharType="separate"/>
                      </w:r>
                      <w:r w:rsidR="00FB29F8">
                        <w:rPr>
                          <w:noProof/>
                        </w:rPr>
                        <w:t>3</w:t>
                      </w:r>
                      <w:r>
                        <w:fldChar w:fldCharType="end"/>
                      </w:r>
                      <w:r>
                        <w:t xml:space="preserve"> Tool Integration Architecture</w:t>
                      </w:r>
                      <w:bookmarkEnd w:id="39"/>
                    </w:p>
                  </w:txbxContent>
                </v:textbox>
                <w10:wrap type="topAndBottom"/>
              </v:shape>
            </w:pict>
          </mc:Fallback>
        </mc:AlternateContent>
      </w:r>
      <w:r w:rsidR="004C5B1E">
        <w:rPr>
          <w:rFonts w:cstheme="minorHAnsi"/>
          <w:i/>
          <w:iCs/>
          <w:noProof/>
          <w:color w:val="0D0D0D" w:themeColor="text1" w:themeTint="F2"/>
        </w:rPr>
        <w:drawing>
          <wp:anchor distT="0" distB="0" distL="114300" distR="114300" simplePos="0" relativeHeight="251658249" behindDoc="0" locked="0" layoutInCell="1" allowOverlap="1" wp14:anchorId="3CCDFF87" wp14:editId="492F40E0">
            <wp:simplePos x="0" y="0"/>
            <wp:positionH relativeFrom="column">
              <wp:posOffset>216535</wp:posOffset>
            </wp:positionH>
            <wp:positionV relativeFrom="paragraph">
              <wp:posOffset>532765</wp:posOffset>
            </wp:positionV>
            <wp:extent cx="5570855" cy="888365"/>
            <wp:effectExtent l="0" t="0" r="4445" b="0"/>
            <wp:wrapTopAndBottom/>
            <wp:docPr id="151529551" name="Picture 22"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29551" name="Picture 22" descr="A diagram of a process&#10;&#10;AI-generated content may be incorrect."/>
                    <pic:cNvPicPr/>
                  </pic:nvPicPr>
                  <pic:blipFill rotWithShape="1">
                    <a:blip r:embed="rId17" cstate="print">
                      <a:extLst>
                        <a:ext uri="{28A0092B-C50C-407E-A947-70E740481C1C}">
                          <a14:useLocalDpi xmlns:a14="http://schemas.microsoft.com/office/drawing/2010/main" val="0"/>
                        </a:ext>
                      </a:extLst>
                    </a:blip>
                    <a:srcRect t="24601" b="32220"/>
                    <a:stretch>
                      <a:fillRect/>
                    </a:stretch>
                  </pic:blipFill>
                  <pic:spPr bwMode="auto">
                    <a:xfrm>
                      <a:off x="0" y="0"/>
                      <a:ext cx="5570855" cy="8883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764CC" w:rsidRPr="000764CC">
        <w:rPr>
          <w:rFonts w:cstheme="minorHAnsi"/>
          <w:color w:val="0D0D0D" w:themeColor="text1" w:themeTint="F2"/>
        </w:rPr>
        <w:t>Licensing and hosting decisions are co-developed with the Consortium; all artifacts remain Consortium property.</w:t>
      </w:r>
    </w:p>
    <w:p w14:paraId="223ECCD6" w14:textId="3832E4FD"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7.</w:t>
      </w:r>
      <w:r w:rsidRPr="000764CC">
        <w:rPr>
          <w:rFonts w:cs="Arial"/>
          <w:b/>
          <w:bCs/>
          <w:color w:val="0D0D0D" w:themeColor="text1" w:themeTint="F2"/>
          <w:szCs w:val="21"/>
        </w:rPr>
        <w:tab/>
        <w:t>Implementation Roadmap (First 90 Days + Steady State)</w:t>
      </w:r>
    </w:p>
    <w:p w14:paraId="5E450508" w14:textId="77777777" w:rsidR="000764CC" w:rsidRPr="000764CC" w:rsidRDefault="000764CC" w:rsidP="000660C8">
      <w:pPr>
        <w:spacing w:before="120" w:after="120"/>
        <w:ind w:left="357"/>
        <w:rPr>
          <w:rFonts w:cs="Arial"/>
          <w:b/>
          <w:bCs/>
          <w:color w:val="0D0D0D" w:themeColor="text1" w:themeTint="F2"/>
          <w:szCs w:val="21"/>
        </w:rPr>
      </w:pPr>
      <w:r w:rsidRPr="000764CC">
        <w:rPr>
          <w:rFonts w:cs="Arial"/>
          <w:b/>
          <w:bCs/>
          <w:color w:val="0D0D0D" w:themeColor="text1" w:themeTint="F2"/>
          <w:szCs w:val="21"/>
        </w:rPr>
        <w:t>Day 0–30 – Plan &amp; Integrate</w:t>
      </w:r>
    </w:p>
    <w:p w14:paraId="18DEF533"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Finalize access, data-sharing, and tool integration agreements with the PMO.</w:t>
      </w:r>
    </w:p>
    <w:p w14:paraId="3C717195"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Baseline six months of defect, change, and CI/CD data.</w:t>
      </w:r>
    </w:p>
    <w:p w14:paraId="671F229D"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Co-develop risk taxonomy and heat-map thresholds.</w:t>
      </w:r>
    </w:p>
    <w:p w14:paraId="307FD7CC"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Configure dashboards and initiate weekly risk-review cadence.</w:t>
      </w:r>
    </w:p>
    <w:p w14:paraId="33868321" w14:textId="77777777" w:rsidR="000764CC" w:rsidRPr="000764CC" w:rsidRDefault="000764CC" w:rsidP="000660C8">
      <w:pPr>
        <w:spacing w:before="120" w:after="120"/>
        <w:ind w:left="357"/>
        <w:rPr>
          <w:rFonts w:cs="Arial"/>
          <w:b/>
          <w:bCs/>
          <w:color w:val="0D0D0D" w:themeColor="text1" w:themeTint="F2"/>
          <w:szCs w:val="21"/>
        </w:rPr>
      </w:pPr>
      <w:r w:rsidRPr="000764CC">
        <w:rPr>
          <w:rFonts w:cs="Arial"/>
          <w:b/>
          <w:bCs/>
          <w:color w:val="0D0D0D" w:themeColor="text1" w:themeTint="F2"/>
          <w:szCs w:val="21"/>
        </w:rPr>
        <w:t>Day 31–60 – Discover &amp; Validate</w:t>
      </w:r>
    </w:p>
    <w:p w14:paraId="4A61508B"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Run initial analytics to identify top 20 risk candidates.</w:t>
      </w:r>
    </w:p>
    <w:p w14:paraId="125BD03F"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lastRenderedPageBreak/>
        <w:t>Conduct joint validation workshops with Consortium and vendors.</w:t>
      </w:r>
    </w:p>
    <w:p w14:paraId="6750BC01"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Begin executing targeted QA interventions using exploratory and automation playbooks.</w:t>
      </w:r>
    </w:p>
    <w:p w14:paraId="1F495845" w14:textId="77777777" w:rsidR="000764CC" w:rsidRPr="000764CC" w:rsidRDefault="000764CC" w:rsidP="000660C8">
      <w:pPr>
        <w:spacing w:before="120" w:after="120"/>
        <w:ind w:left="357"/>
        <w:rPr>
          <w:rFonts w:cs="Arial"/>
          <w:b/>
          <w:bCs/>
          <w:color w:val="0D0D0D" w:themeColor="text1" w:themeTint="F2"/>
          <w:szCs w:val="21"/>
        </w:rPr>
      </w:pPr>
      <w:r w:rsidRPr="000764CC">
        <w:rPr>
          <w:rFonts w:cs="Arial"/>
          <w:b/>
          <w:bCs/>
          <w:color w:val="0D0D0D" w:themeColor="text1" w:themeTint="F2"/>
          <w:szCs w:val="21"/>
        </w:rPr>
        <w:t>Day 61–90 – Operationalize</w:t>
      </w:r>
    </w:p>
    <w:p w14:paraId="5BCC03BD"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Present first mitigation results in Executive Risk Brief.</w:t>
      </w:r>
    </w:p>
    <w:p w14:paraId="3CB85E19"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Finalize RACI for risk management and confirm tool hosting/licensing.</w:t>
      </w:r>
    </w:p>
    <w:p w14:paraId="07FEC944"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Deliver “Risk Baseline Report” and continuous monitoring roadmap.</w:t>
      </w:r>
    </w:p>
    <w:p w14:paraId="547BE38F" w14:textId="77777777" w:rsidR="000764CC" w:rsidRPr="000764CC" w:rsidRDefault="000764CC" w:rsidP="000660C8">
      <w:pPr>
        <w:spacing w:before="120" w:after="120"/>
        <w:ind w:left="357"/>
        <w:rPr>
          <w:rFonts w:cs="Arial"/>
          <w:b/>
          <w:bCs/>
          <w:color w:val="0D0D0D" w:themeColor="text1" w:themeTint="F2"/>
          <w:szCs w:val="21"/>
        </w:rPr>
      </w:pPr>
      <w:r w:rsidRPr="000764CC">
        <w:rPr>
          <w:rFonts w:cs="Arial"/>
          <w:b/>
          <w:bCs/>
          <w:color w:val="0D0D0D" w:themeColor="text1" w:themeTint="F2"/>
          <w:szCs w:val="21"/>
        </w:rPr>
        <w:t>Steady State</w:t>
      </w:r>
    </w:p>
    <w:p w14:paraId="2FD5C515"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Maintain continuous ingestion and weekly review cycles.</w:t>
      </w:r>
    </w:p>
    <w:p w14:paraId="36F69231" w14:textId="77777777" w:rsidR="000764CC" w:rsidRPr="000764CC" w:rsidRDefault="000764CC" w:rsidP="000660C8">
      <w:pPr>
        <w:numPr>
          <w:ilvl w:val="0"/>
          <w:numId w:val="11"/>
        </w:numPr>
        <w:spacing w:before="60"/>
        <w:ind w:left="714" w:hanging="357"/>
        <w:rPr>
          <w:rFonts w:cs="Arial"/>
          <w:szCs w:val="21"/>
        </w:rPr>
      </w:pPr>
      <w:r w:rsidRPr="000764CC">
        <w:rPr>
          <w:rFonts w:cs="Arial"/>
          <w:szCs w:val="21"/>
        </w:rPr>
        <w:t>Conduct monthly executive updates and quarterly retrospectives to evaluate model and process maturity.</w:t>
      </w:r>
    </w:p>
    <w:p w14:paraId="2C533A4B"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8.</w:t>
      </w:r>
      <w:r w:rsidRPr="000764CC">
        <w:rPr>
          <w:rFonts w:cs="Arial"/>
          <w:b/>
          <w:bCs/>
          <w:color w:val="0D0D0D" w:themeColor="text1" w:themeTint="F2"/>
          <w:szCs w:val="21"/>
        </w:rPr>
        <w:tab/>
        <w:t>Proof Points and Examples</w:t>
      </w:r>
    </w:p>
    <w:p w14:paraId="0FF01695" w14:textId="77777777" w:rsidR="000764CC" w:rsidRPr="000764CC" w:rsidRDefault="000764CC" w:rsidP="000660C8">
      <w:pPr>
        <w:spacing w:before="120" w:after="120"/>
        <w:ind w:left="360"/>
        <w:rPr>
          <w:rFonts w:cstheme="minorHAnsi"/>
          <w:color w:val="0D0D0D" w:themeColor="text1" w:themeTint="F2"/>
        </w:rPr>
      </w:pPr>
      <w:r w:rsidRPr="000764CC">
        <w:rPr>
          <w:rFonts w:cstheme="minorHAnsi"/>
          <w:color w:val="0D0D0D" w:themeColor="text1" w:themeTint="F2"/>
        </w:rPr>
        <w:t>IBM has applied this risk-driven QA approach across large-scale HHS programs with demonstrated results:</w:t>
      </w:r>
    </w:p>
    <w:p w14:paraId="089F029C" w14:textId="77777777" w:rsidR="000764CC" w:rsidRPr="000764CC" w:rsidRDefault="000764CC" w:rsidP="000660C8">
      <w:pPr>
        <w:spacing w:before="120" w:after="120"/>
        <w:ind w:left="360"/>
        <w:rPr>
          <w:rFonts w:cs="Arial"/>
          <w:b/>
          <w:bCs/>
          <w:color w:val="0D0D0D" w:themeColor="text1" w:themeTint="F2"/>
          <w:szCs w:val="21"/>
        </w:rPr>
      </w:pPr>
      <w:r w:rsidRPr="000764CC">
        <w:rPr>
          <w:rFonts w:cs="Arial"/>
          <w:b/>
          <w:bCs/>
          <w:color w:val="0D0D0D" w:themeColor="text1" w:themeTint="F2"/>
          <w:szCs w:val="21"/>
        </w:rPr>
        <w:t>California MMIS – Production Stabilization</w:t>
      </w:r>
    </w:p>
    <w:p w14:paraId="5733E227"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Integrated defect and telemetry data across vendors to produce risk heat maps.</w:t>
      </w:r>
    </w:p>
    <w:p w14:paraId="7C77D6F1"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Prioritized EDBC exploratory testing and targeted automation.</w:t>
      </w:r>
    </w:p>
    <w:p w14:paraId="1C7DE785"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Instituted weekly cross-vendor risk reviews and batch readiness gates.</w:t>
      </w:r>
    </w:p>
    <w:p w14:paraId="2527987C" w14:textId="77777777" w:rsidR="000764CC" w:rsidRPr="000764CC" w:rsidRDefault="000764CC" w:rsidP="000660C8">
      <w:pPr>
        <w:spacing w:before="120" w:after="120"/>
        <w:ind w:left="360"/>
        <w:rPr>
          <w:rFonts w:cs="Arial"/>
          <w:color w:val="0D0D0D" w:themeColor="text1" w:themeTint="F2"/>
          <w:szCs w:val="21"/>
        </w:rPr>
      </w:pPr>
      <w:r w:rsidRPr="000764CC">
        <w:rPr>
          <w:rFonts w:cs="Arial"/>
          <w:b/>
          <w:bCs/>
          <w:color w:val="0D0D0D" w:themeColor="text1" w:themeTint="F2"/>
          <w:szCs w:val="21"/>
        </w:rPr>
        <w:t>Result:</w:t>
      </w:r>
      <w:r w:rsidRPr="000764CC">
        <w:rPr>
          <w:rFonts w:cs="Arial"/>
          <w:color w:val="0D0D0D" w:themeColor="text1" w:themeTint="F2"/>
          <w:szCs w:val="21"/>
        </w:rPr>
        <w:t xml:space="preserve"> Single-digit Sev 1/2 defects at go-live; shorter remediation cycles; improved county trust.</w:t>
      </w:r>
    </w:p>
    <w:p w14:paraId="7B11853D" w14:textId="77777777" w:rsidR="000764CC" w:rsidRPr="000764CC" w:rsidRDefault="000764CC" w:rsidP="000660C8">
      <w:pPr>
        <w:spacing w:before="120" w:after="120"/>
        <w:ind w:left="360"/>
        <w:rPr>
          <w:rFonts w:cs="Arial"/>
          <w:b/>
          <w:bCs/>
          <w:color w:val="0D0D0D" w:themeColor="text1" w:themeTint="F2"/>
          <w:szCs w:val="21"/>
        </w:rPr>
      </w:pPr>
      <w:r w:rsidRPr="000764CC">
        <w:rPr>
          <w:rFonts w:cs="Arial"/>
          <w:b/>
          <w:bCs/>
          <w:color w:val="0D0D0D" w:themeColor="text1" w:themeTint="F2"/>
          <w:szCs w:val="21"/>
        </w:rPr>
        <w:t>Arizona DES – Cloud Migration &amp; Legislative Surge</w:t>
      </w:r>
    </w:p>
    <w:p w14:paraId="6A317E34"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Deployed U.S. delivery pods for rapid scaling; optimized regression sets using combinatorial design.</w:t>
      </w:r>
    </w:p>
    <w:p w14:paraId="07C37346"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Leveraged service virtualization to test integrations independently.</w:t>
      </w:r>
    </w:p>
    <w:p w14:paraId="702A0ADC" w14:textId="77777777" w:rsidR="000764CC" w:rsidRPr="000764CC" w:rsidRDefault="000764CC" w:rsidP="000660C8">
      <w:pPr>
        <w:spacing w:before="120" w:after="120"/>
        <w:ind w:left="360"/>
        <w:rPr>
          <w:rFonts w:cs="Arial"/>
          <w:color w:val="0D0D0D" w:themeColor="text1" w:themeTint="F2"/>
          <w:szCs w:val="21"/>
        </w:rPr>
      </w:pPr>
      <w:r w:rsidRPr="000764CC">
        <w:rPr>
          <w:rFonts w:cs="Arial"/>
          <w:b/>
          <w:bCs/>
          <w:color w:val="0D0D0D" w:themeColor="text1" w:themeTint="F2"/>
          <w:szCs w:val="21"/>
        </w:rPr>
        <w:t>Result:</w:t>
      </w:r>
      <w:r w:rsidRPr="000764CC">
        <w:rPr>
          <w:rFonts w:cs="Arial"/>
          <w:color w:val="0D0D0D" w:themeColor="text1" w:themeTint="F2"/>
          <w:szCs w:val="21"/>
        </w:rPr>
        <w:t xml:space="preserve"> QA capacity +35% in weeks; low production incidents; 25% reduction in regression cycle time.</w:t>
      </w:r>
    </w:p>
    <w:p w14:paraId="17EF903D" w14:textId="77777777" w:rsidR="000764CC" w:rsidRPr="000764CC" w:rsidRDefault="000764CC" w:rsidP="000660C8">
      <w:pPr>
        <w:spacing w:before="120" w:after="120"/>
        <w:ind w:left="360"/>
        <w:rPr>
          <w:rFonts w:cs="Arial"/>
          <w:b/>
          <w:bCs/>
          <w:color w:val="0D0D0D" w:themeColor="text1" w:themeTint="F2"/>
          <w:szCs w:val="21"/>
        </w:rPr>
      </w:pPr>
      <w:r w:rsidRPr="000764CC">
        <w:rPr>
          <w:rFonts w:cs="Arial"/>
          <w:b/>
          <w:bCs/>
          <w:color w:val="0D0D0D" w:themeColor="text1" w:themeTint="F2"/>
          <w:szCs w:val="21"/>
        </w:rPr>
        <w:t>Florida DCF – Crisis Surge &amp; Policy Response</w:t>
      </w:r>
    </w:p>
    <w:p w14:paraId="5C7D2071"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Used predictive defect analytics to focus testing; implemented pre-promotion risk gates.</w:t>
      </w:r>
    </w:p>
    <w:p w14:paraId="4752764D" w14:textId="77777777" w:rsidR="000764CC" w:rsidRPr="000764CC" w:rsidRDefault="000764CC" w:rsidP="000660C8">
      <w:pPr>
        <w:numPr>
          <w:ilvl w:val="0"/>
          <w:numId w:val="11"/>
        </w:numPr>
        <w:spacing w:before="60"/>
        <w:ind w:left="717" w:hanging="357"/>
        <w:rPr>
          <w:rFonts w:cs="Arial"/>
          <w:szCs w:val="21"/>
        </w:rPr>
      </w:pPr>
      <w:r w:rsidRPr="000764CC">
        <w:rPr>
          <w:rFonts w:cs="Arial"/>
          <w:szCs w:val="21"/>
        </w:rPr>
        <w:t>Applied synthetic data for batch validation and county workflow testing.</w:t>
      </w:r>
    </w:p>
    <w:p w14:paraId="41914D5A" w14:textId="77777777" w:rsidR="000764CC" w:rsidRPr="000764CC" w:rsidRDefault="000764CC" w:rsidP="000660C8">
      <w:pPr>
        <w:spacing w:before="120" w:after="120"/>
        <w:ind w:left="360"/>
        <w:rPr>
          <w:rFonts w:cs="Arial"/>
          <w:color w:val="0D0D0D" w:themeColor="text1" w:themeTint="F2"/>
          <w:szCs w:val="21"/>
        </w:rPr>
      </w:pPr>
      <w:r w:rsidRPr="000764CC">
        <w:rPr>
          <w:rFonts w:cs="Arial"/>
          <w:b/>
          <w:bCs/>
          <w:color w:val="0D0D0D" w:themeColor="text1" w:themeTint="F2"/>
          <w:szCs w:val="21"/>
        </w:rPr>
        <w:t>Result:</w:t>
      </w:r>
      <w:r w:rsidRPr="000764CC">
        <w:rPr>
          <w:rFonts w:cs="Arial"/>
          <w:color w:val="0D0D0D" w:themeColor="text1" w:themeTint="F2"/>
          <w:szCs w:val="21"/>
        </w:rPr>
        <w:t xml:space="preserve"> &lt;1% defect leakage in critical modules; on-time delivery for legislative mandates.</w:t>
      </w:r>
    </w:p>
    <w:p w14:paraId="7E514651" w14:textId="77777777" w:rsidR="000764CC" w:rsidRDefault="000764CC" w:rsidP="000660C8">
      <w:pPr>
        <w:spacing w:before="120" w:after="120"/>
        <w:ind w:left="360"/>
        <w:rPr>
          <w:rFonts w:cstheme="minorHAnsi"/>
          <w:b/>
          <w:bCs/>
          <w:color w:val="0D0D0D" w:themeColor="text1" w:themeTint="F2"/>
        </w:rPr>
      </w:pPr>
      <w:r w:rsidRPr="000764CC">
        <w:rPr>
          <w:rFonts w:cstheme="minorHAnsi"/>
          <w:color w:val="0D0D0D" w:themeColor="text1" w:themeTint="F2"/>
        </w:rPr>
        <w:t xml:space="preserve">Each example follows the same pattern IBM will apply for CalSAWS: </w:t>
      </w:r>
      <w:r w:rsidRPr="000764CC">
        <w:rPr>
          <w:rFonts w:cstheme="minorHAnsi"/>
          <w:b/>
          <w:bCs/>
          <w:color w:val="0D0D0D" w:themeColor="text1" w:themeTint="F2"/>
        </w:rPr>
        <w:t>analytics → human validation → targeted QA → governance visibility → measurable outcomes.</w:t>
      </w:r>
    </w:p>
    <w:p w14:paraId="356D0C08" w14:textId="77777777" w:rsidR="0012794E" w:rsidRDefault="0012794E" w:rsidP="0012794E">
      <w:pPr>
        <w:pStyle w:val="Caption"/>
      </w:pPr>
    </w:p>
    <w:p w14:paraId="6CE5404C" w14:textId="77777777" w:rsidR="0012794E" w:rsidRDefault="0012794E" w:rsidP="0012794E"/>
    <w:p w14:paraId="11FEF40E" w14:textId="77777777" w:rsidR="0012794E" w:rsidRDefault="0012794E" w:rsidP="0012794E">
      <w:pPr>
        <w:pStyle w:val="Caption"/>
      </w:pPr>
    </w:p>
    <w:p w14:paraId="08D9F8F6" w14:textId="77777777" w:rsidR="0012794E" w:rsidRPr="0012794E" w:rsidRDefault="0012794E" w:rsidP="0012794E"/>
    <w:p w14:paraId="0F037C5A"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9.</w:t>
      </w:r>
      <w:r w:rsidRPr="000764CC">
        <w:rPr>
          <w:rFonts w:cs="Arial"/>
          <w:b/>
          <w:bCs/>
          <w:color w:val="0D0D0D" w:themeColor="text1" w:themeTint="F2"/>
          <w:szCs w:val="21"/>
        </w:rPr>
        <w:tab/>
        <w:t>Metrics and Continuous Improvement</w:t>
      </w:r>
    </w:p>
    <w:p w14:paraId="2A38CC44" w14:textId="68B22003" w:rsidR="00A1545B" w:rsidRDefault="00A1545B" w:rsidP="00A1545B">
      <w:pPr>
        <w:pStyle w:val="Caption"/>
        <w:keepNext/>
        <w:jc w:val="center"/>
      </w:pPr>
      <w:bookmarkStart w:id="40" w:name="_Toc213069372"/>
      <w:r>
        <w:t xml:space="preserve">Table 4.2.2. </w:t>
      </w:r>
      <w:r>
        <w:fldChar w:fldCharType="begin"/>
      </w:r>
      <w:r>
        <w:instrText xml:space="preserve"> SEQ Table_4.2.2. \* ARABIC </w:instrText>
      </w:r>
      <w:r>
        <w:fldChar w:fldCharType="separate"/>
      </w:r>
      <w:r>
        <w:rPr>
          <w:noProof/>
        </w:rPr>
        <w:t>2</w:t>
      </w:r>
      <w:r>
        <w:fldChar w:fldCharType="end"/>
      </w:r>
      <w:r>
        <w:t xml:space="preserve"> Metrics and Continuous Improvement</w:t>
      </w:r>
      <w:bookmarkEnd w:id="40"/>
    </w:p>
    <w:tbl>
      <w:tblPr>
        <w:tblStyle w:val="TableGrid"/>
        <w:tblW w:w="4825" w:type="pct"/>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70"/>
        <w:gridCol w:w="4253"/>
      </w:tblGrid>
      <w:tr w:rsidR="000660C8" w:rsidRPr="000764CC" w14:paraId="17535D8D" w14:textId="77777777" w:rsidTr="000660C8">
        <w:trPr>
          <w:cnfStyle w:val="100000000000" w:firstRow="1" w:lastRow="0" w:firstColumn="0" w:lastColumn="0" w:oddVBand="0" w:evenVBand="0" w:oddHBand="0" w:evenHBand="0" w:firstRowFirstColumn="0" w:firstRowLastColumn="0" w:lastRowFirstColumn="0" w:lastRowLastColumn="0"/>
          <w:trHeight w:val="523"/>
        </w:trPr>
        <w:tc>
          <w:tcPr>
            <w:tcW w:w="2643" w:type="pct"/>
            <w:shd w:val="clear" w:color="auto" w:fill="0070C0"/>
            <w:vAlign w:val="center"/>
            <w:hideMark/>
          </w:tcPr>
          <w:p w14:paraId="382A2835" w14:textId="77777777" w:rsidR="000764CC" w:rsidRPr="000764CC" w:rsidRDefault="000764CC" w:rsidP="00725431">
            <w:pPr>
              <w:spacing w:before="60"/>
              <w:rPr>
                <w:rFonts w:cs="Arial"/>
                <w:b/>
                <w:color w:val="FFFFFF" w:themeColor="background1"/>
                <w:szCs w:val="18"/>
              </w:rPr>
            </w:pPr>
            <w:r w:rsidRPr="000764CC">
              <w:rPr>
                <w:rFonts w:cs="Arial"/>
                <w:b/>
                <w:color w:val="FFFFFF" w:themeColor="background1"/>
                <w:szCs w:val="18"/>
              </w:rPr>
              <w:t>Metric</w:t>
            </w:r>
          </w:p>
        </w:tc>
        <w:tc>
          <w:tcPr>
            <w:tcW w:w="2357" w:type="pct"/>
            <w:shd w:val="clear" w:color="auto" w:fill="0070C0"/>
            <w:vAlign w:val="center"/>
            <w:hideMark/>
          </w:tcPr>
          <w:p w14:paraId="44554C0D" w14:textId="77777777" w:rsidR="000764CC" w:rsidRPr="000764CC" w:rsidRDefault="000764CC" w:rsidP="00725431">
            <w:pPr>
              <w:spacing w:before="60"/>
              <w:rPr>
                <w:rFonts w:cs="Arial"/>
                <w:b/>
                <w:color w:val="FFFFFF" w:themeColor="background1"/>
                <w:szCs w:val="18"/>
              </w:rPr>
            </w:pPr>
            <w:r w:rsidRPr="000764CC">
              <w:rPr>
                <w:rFonts w:cs="Arial"/>
                <w:b/>
                <w:color w:val="FFFFFF" w:themeColor="background1"/>
                <w:szCs w:val="18"/>
              </w:rPr>
              <w:t>Target</w:t>
            </w:r>
          </w:p>
        </w:tc>
      </w:tr>
      <w:tr w:rsidR="000660C8" w:rsidRPr="000764CC" w14:paraId="7E5CB8C1" w14:textId="77777777" w:rsidTr="000660C8">
        <w:trPr>
          <w:trHeight w:val="543"/>
        </w:trPr>
        <w:tc>
          <w:tcPr>
            <w:tcW w:w="2643" w:type="pct"/>
            <w:shd w:val="clear" w:color="auto" w:fill="FFFFFF" w:themeFill="background1"/>
            <w:hideMark/>
          </w:tcPr>
          <w:p w14:paraId="7438A0FE" w14:textId="77777777" w:rsidR="000764CC" w:rsidRPr="000764CC" w:rsidRDefault="000764CC" w:rsidP="000764CC">
            <w:pPr>
              <w:spacing w:before="60"/>
              <w:rPr>
                <w:rFonts w:cs="Arial"/>
                <w:szCs w:val="21"/>
              </w:rPr>
            </w:pPr>
            <w:r w:rsidRPr="000764CC">
              <w:rPr>
                <w:rFonts w:cs="Arial"/>
                <w:szCs w:val="21"/>
              </w:rPr>
              <w:t>Detection lead time</w:t>
            </w:r>
          </w:p>
        </w:tc>
        <w:tc>
          <w:tcPr>
            <w:tcW w:w="2357" w:type="pct"/>
            <w:shd w:val="clear" w:color="auto" w:fill="FFFFFF" w:themeFill="background1"/>
            <w:hideMark/>
          </w:tcPr>
          <w:p w14:paraId="3B852802" w14:textId="77777777" w:rsidR="000764CC" w:rsidRPr="000764CC" w:rsidRDefault="000764CC" w:rsidP="000764CC">
            <w:pPr>
              <w:spacing w:before="60"/>
              <w:rPr>
                <w:rFonts w:cs="Arial"/>
                <w:szCs w:val="21"/>
              </w:rPr>
            </w:pPr>
            <w:r w:rsidRPr="000764CC">
              <w:rPr>
                <w:rFonts w:cs="Arial"/>
                <w:szCs w:val="21"/>
              </w:rPr>
              <w:t>&lt; 7 days from signal to nomination</w:t>
            </w:r>
          </w:p>
        </w:tc>
      </w:tr>
      <w:tr w:rsidR="000660C8" w:rsidRPr="000764CC" w14:paraId="247147C0" w14:textId="77777777" w:rsidTr="000660C8">
        <w:trPr>
          <w:trHeight w:val="523"/>
        </w:trPr>
        <w:tc>
          <w:tcPr>
            <w:tcW w:w="2643" w:type="pct"/>
            <w:shd w:val="clear" w:color="auto" w:fill="FFFFFF" w:themeFill="background1"/>
            <w:hideMark/>
          </w:tcPr>
          <w:p w14:paraId="4628B0C2" w14:textId="77777777" w:rsidR="000764CC" w:rsidRPr="000764CC" w:rsidRDefault="000764CC" w:rsidP="000764CC">
            <w:pPr>
              <w:spacing w:before="60"/>
              <w:rPr>
                <w:rFonts w:cs="Arial"/>
                <w:szCs w:val="21"/>
              </w:rPr>
            </w:pPr>
            <w:r w:rsidRPr="000764CC">
              <w:rPr>
                <w:rFonts w:cs="Arial"/>
                <w:szCs w:val="21"/>
              </w:rPr>
              <w:t>Prediction accuracy</w:t>
            </w:r>
          </w:p>
        </w:tc>
        <w:tc>
          <w:tcPr>
            <w:tcW w:w="2357" w:type="pct"/>
            <w:shd w:val="clear" w:color="auto" w:fill="FFFFFF" w:themeFill="background1"/>
            <w:hideMark/>
          </w:tcPr>
          <w:p w14:paraId="2211EB01" w14:textId="77777777" w:rsidR="000764CC" w:rsidRPr="000764CC" w:rsidRDefault="000764CC" w:rsidP="000764CC">
            <w:pPr>
              <w:spacing w:before="60"/>
              <w:rPr>
                <w:rFonts w:cs="Arial"/>
                <w:szCs w:val="21"/>
              </w:rPr>
            </w:pPr>
            <w:r w:rsidRPr="000764CC">
              <w:rPr>
                <w:rFonts w:cs="Arial"/>
                <w:szCs w:val="21"/>
              </w:rPr>
              <w:t>≥ 85 % within 3 months of model tuning</w:t>
            </w:r>
          </w:p>
        </w:tc>
      </w:tr>
      <w:tr w:rsidR="000660C8" w:rsidRPr="000764CC" w14:paraId="7E52A825" w14:textId="77777777" w:rsidTr="000660C8">
        <w:trPr>
          <w:trHeight w:val="523"/>
        </w:trPr>
        <w:tc>
          <w:tcPr>
            <w:tcW w:w="2643" w:type="pct"/>
            <w:shd w:val="clear" w:color="auto" w:fill="FFFFFF" w:themeFill="background1"/>
            <w:hideMark/>
          </w:tcPr>
          <w:p w14:paraId="28DA680B" w14:textId="77777777" w:rsidR="000764CC" w:rsidRPr="000764CC" w:rsidRDefault="000764CC" w:rsidP="000764CC">
            <w:pPr>
              <w:spacing w:before="60"/>
              <w:rPr>
                <w:rFonts w:cs="Arial"/>
                <w:szCs w:val="21"/>
              </w:rPr>
            </w:pPr>
            <w:r w:rsidRPr="000764CC">
              <w:rPr>
                <w:rFonts w:cs="Arial"/>
                <w:szCs w:val="21"/>
              </w:rPr>
              <w:t>Time to remediation (MTTR)</w:t>
            </w:r>
          </w:p>
        </w:tc>
        <w:tc>
          <w:tcPr>
            <w:tcW w:w="2357" w:type="pct"/>
            <w:shd w:val="clear" w:color="auto" w:fill="FFFFFF" w:themeFill="background1"/>
            <w:hideMark/>
          </w:tcPr>
          <w:p w14:paraId="5DD638EC" w14:textId="77777777" w:rsidR="000764CC" w:rsidRPr="000764CC" w:rsidRDefault="000764CC" w:rsidP="000764CC">
            <w:pPr>
              <w:spacing w:before="60"/>
              <w:rPr>
                <w:rFonts w:cs="Arial"/>
                <w:szCs w:val="21"/>
              </w:rPr>
            </w:pPr>
            <w:r w:rsidRPr="000764CC">
              <w:rPr>
                <w:rFonts w:cs="Arial"/>
                <w:szCs w:val="21"/>
              </w:rPr>
              <w:t>&lt; 5 business days for critical items</w:t>
            </w:r>
          </w:p>
        </w:tc>
      </w:tr>
      <w:tr w:rsidR="000660C8" w:rsidRPr="000764CC" w14:paraId="41EA63B8" w14:textId="77777777" w:rsidTr="000660C8">
        <w:trPr>
          <w:trHeight w:val="523"/>
        </w:trPr>
        <w:tc>
          <w:tcPr>
            <w:tcW w:w="2643" w:type="pct"/>
            <w:shd w:val="clear" w:color="auto" w:fill="FFFFFF" w:themeFill="background1"/>
            <w:hideMark/>
          </w:tcPr>
          <w:p w14:paraId="4409A1A8" w14:textId="77777777" w:rsidR="000764CC" w:rsidRPr="000764CC" w:rsidRDefault="000764CC" w:rsidP="000764CC">
            <w:pPr>
              <w:spacing w:before="60"/>
              <w:rPr>
                <w:rFonts w:cs="Arial"/>
                <w:szCs w:val="21"/>
              </w:rPr>
            </w:pPr>
            <w:r w:rsidRPr="000764CC">
              <w:rPr>
                <w:rFonts w:cs="Arial"/>
                <w:szCs w:val="21"/>
              </w:rPr>
              <w:t>Reduction in Sev 1/2 production incidents</w:t>
            </w:r>
          </w:p>
        </w:tc>
        <w:tc>
          <w:tcPr>
            <w:tcW w:w="2357" w:type="pct"/>
            <w:shd w:val="clear" w:color="auto" w:fill="FFFFFF" w:themeFill="background1"/>
            <w:hideMark/>
          </w:tcPr>
          <w:p w14:paraId="408B7A94" w14:textId="77777777" w:rsidR="000764CC" w:rsidRPr="000764CC" w:rsidRDefault="000764CC" w:rsidP="000764CC">
            <w:pPr>
              <w:spacing w:before="60"/>
              <w:rPr>
                <w:rFonts w:cs="Arial"/>
                <w:szCs w:val="21"/>
              </w:rPr>
            </w:pPr>
            <w:r w:rsidRPr="000764CC">
              <w:rPr>
                <w:rFonts w:cs="Arial"/>
                <w:szCs w:val="21"/>
              </w:rPr>
              <w:t>≥ 50 % YoY post-stabilization</w:t>
            </w:r>
          </w:p>
        </w:tc>
      </w:tr>
      <w:tr w:rsidR="000660C8" w:rsidRPr="000764CC" w14:paraId="11C15F01" w14:textId="77777777" w:rsidTr="000660C8">
        <w:trPr>
          <w:trHeight w:val="543"/>
        </w:trPr>
        <w:tc>
          <w:tcPr>
            <w:tcW w:w="2643" w:type="pct"/>
            <w:shd w:val="clear" w:color="auto" w:fill="FFFFFF" w:themeFill="background1"/>
            <w:hideMark/>
          </w:tcPr>
          <w:p w14:paraId="58006F85" w14:textId="77777777" w:rsidR="000764CC" w:rsidRPr="000764CC" w:rsidRDefault="000764CC" w:rsidP="000764CC">
            <w:pPr>
              <w:spacing w:before="60"/>
              <w:rPr>
                <w:rFonts w:cs="Arial"/>
                <w:szCs w:val="21"/>
              </w:rPr>
            </w:pPr>
            <w:r w:rsidRPr="000764CC">
              <w:rPr>
                <w:rFonts w:cs="Arial"/>
                <w:szCs w:val="21"/>
              </w:rPr>
              <w:t>Regression cycle time reduction</w:t>
            </w:r>
          </w:p>
        </w:tc>
        <w:tc>
          <w:tcPr>
            <w:tcW w:w="2357" w:type="pct"/>
            <w:shd w:val="clear" w:color="auto" w:fill="FFFFFF" w:themeFill="background1"/>
            <w:hideMark/>
          </w:tcPr>
          <w:p w14:paraId="23C32DD1" w14:textId="77777777" w:rsidR="000764CC" w:rsidRPr="000764CC" w:rsidRDefault="000764CC" w:rsidP="000764CC">
            <w:pPr>
              <w:spacing w:before="60"/>
              <w:rPr>
                <w:rFonts w:cs="Arial"/>
                <w:szCs w:val="21"/>
              </w:rPr>
            </w:pPr>
            <w:r w:rsidRPr="000764CC">
              <w:rPr>
                <w:rFonts w:cs="Arial"/>
                <w:szCs w:val="21"/>
              </w:rPr>
              <w:t>25–40 % in targeted modules</w:t>
            </w:r>
          </w:p>
        </w:tc>
      </w:tr>
      <w:tr w:rsidR="000660C8" w:rsidRPr="000764CC" w14:paraId="7DFC0D3B" w14:textId="77777777" w:rsidTr="000660C8">
        <w:trPr>
          <w:trHeight w:val="523"/>
        </w:trPr>
        <w:tc>
          <w:tcPr>
            <w:tcW w:w="2643" w:type="pct"/>
            <w:shd w:val="clear" w:color="auto" w:fill="FFFFFF" w:themeFill="background1"/>
            <w:hideMark/>
          </w:tcPr>
          <w:p w14:paraId="4266660E" w14:textId="77777777" w:rsidR="000764CC" w:rsidRPr="000764CC" w:rsidRDefault="000764CC" w:rsidP="000764CC">
            <w:pPr>
              <w:spacing w:before="60"/>
              <w:rPr>
                <w:rFonts w:cs="Arial"/>
                <w:szCs w:val="21"/>
              </w:rPr>
            </w:pPr>
            <w:r w:rsidRPr="000764CC">
              <w:rPr>
                <w:rFonts w:cs="Arial"/>
                <w:szCs w:val="21"/>
              </w:rPr>
              <w:t>Playbook activation for high-risk items</w:t>
            </w:r>
          </w:p>
        </w:tc>
        <w:tc>
          <w:tcPr>
            <w:tcW w:w="2357" w:type="pct"/>
            <w:shd w:val="clear" w:color="auto" w:fill="FFFFFF" w:themeFill="background1"/>
            <w:hideMark/>
          </w:tcPr>
          <w:p w14:paraId="6D6605DE" w14:textId="77777777" w:rsidR="000764CC" w:rsidRPr="000764CC" w:rsidRDefault="000764CC" w:rsidP="000764CC">
            <w:pPr>
              <w:spacing w:before="60"/>
              <w:rPr>
                <w:rFonts w:cs="Arial"/>
                <w:szCs w:val="21"/>
              </w:rPr>
            </w:pPr>
            <w:r w:rsidRPr="000764CC">
              <w:rPr>
                <w:rFonts w:cs="Arial"/>
                <w:szCs w:val="21"/>
              </w:rPr>
              <w:t>≥ 90 % within 48 hours</w:t>
            </w:r>
          </w:p>
        </w:tc>
      </w:tr>
    </w:tbl>
    <w:p w14:paraId="49948CBD" w14:textId="77777777" w:rsidR="000764CC" w:rsidRPr="000764CC" w:rsidRDefault="000764CC" w:rsidP="000660C8">
      <w:pPr>
        <w:spacing w:before="120" w:after="120"/>
        <w:ind w:left="360"/>
        <w:rPr>
          <w:rFonts w:cstheme="minorHAnsi"/>
          <w:color w:val="0D0D0D" w:themeColor="text1" w:themeTint="F2"/>
        </w:rPr>
      </w:pPr>
      <w:r w:rsidRPr="000764CC">
        <w:rPr>
          <w:rFonts w:cstheme="minorHAnsi"/>
          <w:color w:val="0D0D0D" w:themeColor="text1" w:themeTint="F2"/>
        </w:rPr>
        <w:t>Monthly model retraining, quarterly audits, and RCA of missed events keep the framework accurate and aligned to the Consortium’s risk tolerance.</w:t>
      </w:r>
    </w:p>
    <w:p w14:paraId="62E815AF"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10.</w:t>
      </w:r>
      <w:r w:rsidRPr="000764CC">
        <w:rPr>
          <w:rFonts w:cs="Arial"/>
          <w:b/>
          <w:bCs/>
          <w:color w:val="0D0D0D" w:themeColor="text1" w:themeTint="F2"/>
          <w:szCs w:val="21"/>
        </w:rPr>
        <w:tab/>
        <w:t>Closing Summary — From Detection to Prevention</w:t>
      </w:r>
    </w:p>
    <w:p w14:paraId="7C94D168" w14:textId="77777777" w:rsidR="000764CC" w:rsidRPr="000764CC" w:rsidRDefault="000764CC" w:rsidP="000660C8">
      <w:pPr>
        <w:spacing w:before="120" w:after="120"/>
        <w:ind w:left="357"/>
        <w:rPr>
          <w:rFonts w:cstheme="minorHAnsi"/>
          <w:color w:val="0D0D0D" w:themeColor="text1" w:themeTint="F2"/>
        </w:rPr>
      </w:pPr>
      <w:r w:rsidRPr="000764CC">
        <w:rPr>
          <w:rFonts w:cstheme="minorHAnsi"/>
          <w:color w:val="0D0D0D" w:themeColor="text1" w:themeTint="F2"/>
        </w:rPr>
        <w:t>IBM’s UA4 approach transforms risk management from reactive oversight to predictive assurance. By embedding risk analytics within Consortium governance, IBM delivers:</w:t>
      </w:r>
    </w:p>
    <w:p w14:paraId="74328621"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Earlier visibility:</w:t>
      </w:r>
      <w:r w:rsidRPr="000764CC">
        <w:rPr>
          <w:rFonts w:cs="Arial"/>
          <w:szCs w:val="21"/>
        </w:rPr>
        <w:t xml:space="preserve"> Issues detected before they affect delivery.</w:t>
      </w:r>
    </w:p>
    <w:p w14:paraId="515089DC"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Smarter resource allocation:</w:t>
      </w:r>
      <w:r w:rsidRPr="000764CC">
        <w:rPr>
          <w:rFonts w:cs="Arial"/>
          <w:szCs w:val="21"/>
        </w:rPr>
        <w:t xml:space="preserve"> QA effort targeted to highest-value areas.</w:t>
      </w:r>
    </w:p>
    <w:p w14:paraId="19C5B017"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Collaborative transparency:</w:t>
      </w:r>
      <w:r w:rsidRPr="000764CC">
        <w:rPr>
          <w:rFonts w:cs="Arial"/>
          <w:szCs w:val="21"/>
        </w:rPr>
        <w:t xml:space="preserve"> Findings shared across PMO and vendors.</w:t>
      </w:r>
    </w:p>
    <w:p w14:paraId="50011CCD" w14:textId="77777777" w:rsidR="000764CC" w:rsidRPr="000764CC" w:rsidRDefault="000764CC" w:rsidP="000660C8">
      <w:pPr>
        <w:numPr>
          <w:ilvl w:val="0"/>
          <w:numId w:val="11"/>
        </w:numPr>
        <w:spacing w:before="60"/>
        <w:ind w:left="714" w:hanging="357"/>
        <w:rPr>
          <w:rFonts w:cs="Arial"/>
          <w:szCs w:val="21"/>
        </w:rPr>
      </w:pPr>
      <w:r w:rsidRPr="000764CC">
        <w:rPr>
          <w:rFonts w:cs="Arial"/>
          <w:b/>
          <w:bCs/>
          <w:szCs w:val="21"/>
        </w:rPr>
        <w:t>Measured impact:</w:t>
      </w:r>
      <w:r w:rsidRPr="000764CC">
        <w:rPr>
          <w:rFonts w:cs="Arial"/>
          <w:szCs w:val="21"/>
        </w:rPr>
        <w:t xml:space="preserve"> Fewer incidents, lower cost of quality, higher trust.</w:t>
      </w:r>
    </w:p>
    <w:p w14:paraId="55BAB206" w14:textId="77777777" w:rsidR="000764CC" w:rsidRPr="000764CC" w:rsidRDefault="000764CC" w:rsidP="000660C8">
      <w:pPr>
        <w:spacing w:before="120" w:after="120"/>
        <w:ind w:left="357"/>
        <w:rPr>
          <w:rFonts w:cstheme="minorHAnsi"/>
          <w:color w:val="0D0D0D" w:themeColor="text1" w:themeTint="F2"/>
        </w:rPr>
      </w:pPr>
      <w:r w:rsidRPr="000764CC">
        <w:rPr>
          <w:rFonts w:cstheme="minorHAnsi"/>
          <w:color w:val="0D0D0D" w:themeColor="text1" w:themeTint="F2"/>
        </w:rPr>
        <w:t xml:space="preserve">For CalSAWS, IBM offers not just QA staffing but a </w:t>
      </w:r>
      <w:r w:rsidRPr="000764CC">
        <w:rPr>
          <w:rFonts w:cstheme="minorHAnsi"/>
          <w:b/>
          <w:bCs/>
          <w:color w:val="0D0D0D" w:themeColor="text1" w:themeTint="F2"/>
        </w:rPr>
        <w:t>governance-aligned early-warning system</w:t>
      </w:r>
      <w:r w:rsidRPr="000764CC">
        <w:rPr>
          <w:rFonts w:cstheme="minorHAnsi"/>
          <w:color w:val="0D0D0D" w:themeColor="text1" w:themeTint="F2"/>
        </w:rPr>
        <w:t xml:space="preserve"> that safeguards the accuracy, stability, and reliability of services millions of Californians depend on.</w:t>
      </w:r>
    </w:p>
    <w:p w14:paraId="764C69F1" w14:textId="1BFEBC46" w:rsidR="000764CC" w:rsidRPr="000764CC" w:rsidRDefault="000764CC" w:rsidP="000660C8">
      <w:pPr>
        <w:spacing w:before="120" w:after="120"/>
        <w:ind w:left="357"/>
        <w:rPr>
          <w:rFonts w:cstheme="minorBidi"/>
          <w:color w:val="0D0D0D" w:themeColor="text1" w:themeTint="F2"/>
        </w:rPr>
      </w:pPr>
      <w:r w:rsidRPr="19535F77">
        <w:rPr>
          <w:rFonts w:cstheme="minorBidi"/>
          <w:color w:val="0D0D0D" w:themeColor="text2" w:themeTint="F2"/>
        </w:rPr>
        <w:t>The following subsection (UA5) extends that focus on prevention and continuous improvement into one of CalSAWS’ most visible responsibilities—customer outreach and communications. Here, IBM demonstrates how QA supports CalSAWS’ mission to deliver clear, inclusive, and accessible communications that build trust and confidence among all Californians.</w:t>
      </w:r>
    </w:p>
    <w:p w14:paraId="502BD76A" w14:textId="52A50ED0" w:rsidR="00AF20BA" w:rsidRDefault="00AF20BA" w:rsidP="000660C8">
      <w:pPr>
        <w:spacing w:before="0" w:after="0"/>
        <w:ind w:left="357"/>
        <w:rPr>
          <w:rFonts w:cs="Arial"/>
          <w:color w:val="106288"/>
          <w:sz w:val="32"/>
          <w:szCs w:val="32"/>
        </w:rPr>
      </w:pPr>
      <w:bookmarkStart w:id="41" w:name="_Toc212035284"/>
      <w:r>
        <w:br w:type="page"/>
      </w:r>
    </w:p>
    <w:p w14:paraId="6C89339D" w14:textId="1AD62329" w:rsidR="000764CC" w:rsidRPr="00D06DD6" w:rsidRDefault="00D06DD6" w:rsidP="00CF7600">
      <w:pPr>
        <w:pStyle w:val="Heading3"/>
        <w:numPr>
          <w:ilvl w:val="2"/>
          <w:numId w:val="47"/>
        </w:numPr>
      </w:pPr>
      <w:r>
        <w:lastRenderedPageBreak/>
        <w:t xml:space="preserve"> </w:t>
      </w:r>
      <w:bookmarkStart w:id="42" w:name="_Toc213070149"/>
      <w:r w:rsidR="000764CC" w:rsidRPr="00D06DD6">
        <w:t>UA5 – Advancing CalSAWS Customer Outreach and Communications Through QA</w:t>
      </w:r>
      <w:bookmarkEnd w:id="41"/>
      <w:bookmarkEnd w:id="42"/>
    </w:p>
    <w:p w14:paraId="0496B827" w14:textId="77777777" w:rsidR="00BE7323" w:rsidRPr="00BE7323" w:rsidRDefault="00BE7323" w:rsidP="00CF7600">
      <w:pPr>
        <w:pStyle w:val="CS-RFPBodyText"/>
        <w:numPr>
          <w:ilvl w:val="0"/>
          <w:numId w:val="39"/>
        </w:numPr>
        <w:spacing w:before="0" w:after="0"/>
        <w:rPr>
          <w:i/>
          <w:szCs w:val="22"/>
        </w:rPr>
      </w:pPr>
      <w:r w:rsidRPr="00BE7323">
        <w:rPr>
          <w:i/>
          <w:szCs w:val="22"/>
        </w:rPr>
        <w:t xml:space="preserve">The Consortium has identified a number of key vision elements within its recent procurement documents.  </w:t>
      </w:r>
    </w:p>
    <w:p w14:paraId="252350D7" w14:textId="77777777" w:rsidR="00BE7323" w:rsidRPr="00BE7323" w:rsidRDefault="00BE7323" w:rsidP="00CF7600">
      <w:pPr>
        <w:pStyle w:val="CS-RFPBodyText"/>
        <w:numPr>
          <w:ilvl w:val="0"/>
          <w:numId w:val="39"/>
        </w:numPr>
        <w:spacing w:before="0" w:after="0"/>
        <w:rPr>
          <w:i/>
          <w:szCs w:val="22"/>
        </w:rPr>
      </w:pPr>
      <w:r w:rsidRPr="00BE7323">
        <w:rPr>
          <w:i/>
          <w:szCs w:val="22"/>
        </w:rPr>
        <w:t>Describe the key factors within your QA approach that will support the evolution and advancement of the Customer Outreach and Communications approach within CalSAWS.</w:t>
      </w:r>
    </w:p>
    <w:p w14:paraId="52877C13" w14:textId="56E10313" w:rsidR="00EA4F0A" w:rsidRPr="00BE7323" w:rsidRDefault="00BE7323" w:rsidP="00CF7600">
      <w:pPr>
        <w:pStyle w:val="CS-RFPBodyText"/>
        <w:numPr>
          <w:ilvl w:val="0"/>
          <w:numId w:val="39"/>
        </w:numPr>
        <w:spacing w:before="0" w:after="0"/>
        <w:rPr>
          <w:i/>
          <w:szCs w:val="22"/>
        </w:rPr>
      </w:pPr>
      <w:r w:rsidRPr="00BE7323">
        <w:rPr>
          <w:i/>
          <w:szCs w:val="22"/>
        </w:rPr>
        <w:t>Provide demonstrated examples from previous QA projects as applicable.</w:t>
      </w:r>
    </w:p>
    <w:p w14:paraId="41FE4D9C" w14:textId="77777777" w:rsidR="00245820" w:rsidRDefault="00245820" w:rsidP="000764CC">
      <w:pPr>
        <w:spacing w:before="120" w:after="120"/>
        <w:rPr>
          <w:rFonts w:cstheme="minorHAnsi"/>
          <w:color w:val="00678F" w:themeColor="accent2" w:themeShade="BF"/>
          <w:sz w:val="28"/>
          <w:szCs w:val="28"/>
        </w:rPr>
      </w:pPr>
    </w:p>
    <w:p w14:paraId="668E11FB" w14:textId="7861F15E" w:rsidR="000764CC" w:rsidRPr="00184384" w:rsidRDefault="00A06CBD" w:rsidP="000764CC">
      <w:pPr>
        <w:spacing w:before="120" w:after="120"/>
        <w:rPr>
          <w:rFonts w:cstheme="minorHAnsi"/>
          <w:color w:val="00678F" w:themeColor="accent2" w:themeShade="BF"/>
          <w:sz w:val="28"/>
          <w:szCs w:val="28"/>
        </w:rPr>
      </w:pPr>
      <w:r>
        <w:rPr>
          <w:rFonts w:cstheme="minorHAnsi"/>
          <w:color w:val="00678F" w:themeColor="accent2" w:themeShade="BF"/>
          <w:sz w:val="28"/>
          <w:szCs w:val="28"/>
        </w:rPr>
        <w:t>Introduction</w:t>
      </w:r>
    </w:p>
    <w:p w14:paraId="7354C570"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CalSAWS serves as the digital bridge connecting California’s 58 counties and millions of families seeking essential benefits through programs such as CalWORKs, CalFresh, and Medi-Cal. For these customers, clarity and accessibility in communication are not only operational necessities; they are matters of dignity, equity, and trust.</w:t>
      </w:r>
    </w:p>
    <w:p w14:paraId="1627522D" w14:textId="77777777" w:rsidR="000764CC" w:rsidRPr="000764CC" w:rsidRDefault="000764CC" w:rsidP="000764CC">
      <w:pPr>
        <w:spacing w:before="120" w:after="120"/>
        <w:rPr>
          <w:rFonts w:cstheme="minorHAnsi"/>
          <w:color w:val="auto"/>
        </w:rPr>
      </w:pPr>
      <w:r w:rsidRPr="000764CC">
        <w:rPr>
          <w:rFonts w:cstheme="minorHAnsi"/>
          <w:color w:val="auto"/>
        </w:rPr>
        <w:t>IBM’s Quality Assurance (QA) approach is mission-driven and people-centered, directly supporting the Consortium’s vision to “provide comprehensive, reliable, and efficient automated social services that support equitable access to essential services and improve community well-being.”</w:t>
      </w:r>
    </w:p>
    <w:p w14:paraId="7D883ED1" w14:textId="77777777" w:rsidR="000764CC" w:rsidRPr="000764CC" w:rsidRDefault="000764CC" w:rsidP="000764CC">
      <w:pPr>
        <w:spacing w:before="120" w:after="120"/>
        <w:rPr>
          <w:rFonts w:cstheme="minorHAnsi"/>
          <w:color w:val="auto"/>
        </w:rPr>
      </w:pPr>
      <w:r w:rsidRPr="000764CC">
        <w:rPr>
          <w:rFonts w:cstheme="minorHAnsi"/>
          <w:color w:val="auto"/>
        </w:rPr>
        <w:t>For IBM, quality is not achieved until every Californian can understand, access, and act upon the information they receive, regardless of language, literacy level, or physical ability. Through accessibility validation, multilingual and cultural accuracy, and customer-journey testing, IBM ensures that CalSAWS communications are accurate, inclusive, and actionable.</w:t>
      </w:r>
    </w:p>
    <w:p w14:paraId="6EDEDA26" w14:textId="18836BE5" w:rsidR="000764CC" w:rsidRPr="00184384" w:rsidRDefault="00354A22" w:rsidP="000764CC">
      <w:pPr>
        <w:spacing w:before="120" w:after="120"/>
        <w:rPr>
          <w:rFonts w:cs="Arial"/>
          <w:color w:val="00678F" w:themeColor="accent2" w:themeShade="BF"/>
          <w:sz w:val="28"/>
          <w:szCs w:val="28"/>
        </w:rPr>
      </w:pPr>
      <w:r>
        <w:rPr>
          <w:rFonts w:cs="Arial"/>
          <w:color w:val="00678F" w:themeColor="accent2" w:themeShade="BF"/>
          <w:sz w:val="28"/>
          <w:szCs w:val="28"/>
        </w:rPr>
        <w:t>Our u</w:t>
      </w:r>
      <w:r w:rsidR="000764CC" w:rsidRPr="00184384">
        <w:rPr>
          <w:rFonts w:cs="Arial"/>
          <w:color w:val="00678F" w:themeColor="accent2" w:themeShade="BF"/>
          <w:sz w:val="28"/>
          <w:szCs w:val="28"/>
        </w:rPr>
        <w:t>nderstanding of the Consortium’s Intent</w:t>
      </w:r>
    </w:p>
    <w:p w14:paraId="7663D851"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 xml:space="preserve">The Consortium’s vision emphasizes that CalSAWS must provide </w:t>
      </w:r>
      <w:r w:rsidRPr="000764CC">
        <w:rPr>
          <w:rFonts w:cs="Arial"/>
          <w:b/>
          <w:bCs/>
          <w:color w:val="0D0D0D" w:themeColor="text1" w:themeTint="F2"/>
          <w:szCs w:val="21"/>
        </w:rPr>
        <w:t>clear, consistent, and compassionate communication</w:t>
      </w:r>
      <w:r w:rsidRPr="000764CC">
        <w:rPr>
          <w:rFonts w:cs="Arial"/>
          <w:color w:val="0D0D0D" w:themeColor="text1" w:themeTint="F2"/>
          <w:szCs w:val="21"/>
        </w:rPr>
        <w:t xml:space="preserve"> across counties and channels. QA’s role extends beyond testing functionality. It ensures that communications strengthen public trust and empower Californians to make informed choices about their benefits.</w:t>
      </w:r>
    </w:p>
    <w:p w14:paraId="6F6E86A5" w14:textId="77777777" w:rsidR="000764CC" w:rsidRPr="000764CC" w:rsidRDefault="000764CC" w:rsidP="000764CC">
      <w:pPr>
        <w:spacing w:before="120" w:after="120"/>
        <w:rPr>
          <w:rFonts w:cs="Arial"/>
          <w:color w:val="0D0D0D" w:themeColor="text1" w:themeTint="F2"/>
          <w:szCs w:val="21"/>
        </w:rPr>
      </w:pPr>
      <w:r w:rsidRPr="000764CC">
        <w:rPr>
          <w:rFonts w:cs="Arial"/>
          <w:color w:val="0D0D0D" w:themeColor="text1" w:themeTint="F2"/>
          <w:szCs w:val="21"/>
        </w:rPr>
        <w:t>IBM understands that the Consortium seeks a QA partner who will:</w:t>
      </w:r>
    </w:p>
    <w:p w14:paraId="7E306571" w14:textId="1318A90C" w:rsidR="000764CC" w:rsidRPr="000764CC" w:rsidRDefault="000764CC" w:rsidP="000764CC">
      <w:pPr>
        <w:numPr>
          <w:ilvl w:val="0"/>
          <w:numId w:val="11"/>
        </w:numPr>
        <w:spacing w:before="60"/>
        <w:ind w:left="357" w:hanging="357"/>
        <w:rPr>
          <w:rFonts w:cs="Arial"/>
          <w:szCs w:val="21"/>
        </w:rPr>
      </w:pPr>
      <w:r w:rsidRPr="000764CC">
        <w:rPr>
          <w:rFonts w:cs="Arial"/>
          <w:b/>
          <w:bCs/>
          <w:szCs w:val="21"/>
        </w:rPr>
        <w:t>Align with Governance:</w:t>
      </w:r>
      <w:r w:rsidRPr="000764CC">
        <w:rPr>
          <w:rFonts w:cs="Arial"/>
          <w:szCs w:val="21"/>
        </w:rPr>
        <w:t xml:space="preserve"> Integrate communication QA within existing PMO, </w:t>
      </w:r>
      <w:r w:rsidR="008D48D3">
        <w:rPr>
          <w:rFonts w:cs="Arial"/>
          <w:szCs w:val="21"/>
        </w:rPr>
        <w:t xml:space="preserve">Consortium, JPA, CalSAWS PSC, </w:t>
      </w:r>
      <w:r w:rsidRPr="000764CC">
        <w:rPr>
          <w:rFonts w:cs="Arial"/>
          <w:szCs w:val="21"/>
        </w:rPr>
        <w:t>Outreach, and County Operations structures.</w:t>
      </w:r>
    </w:p>
    <w:p w14:paraId="21B0A9D9"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Ensure Accuracy and Accessibility:</w:t>
      </w:r>
      <w:r w:rsidRPr="000764CC">
        <w:rPr>
          <w:rFonts w:cs="Arial"/>
          <w:szCs w:val="21"/>
        </w:rPr>
        <w:t xml:space="preserve"> Validate that all communications meet content, compliance, and clarity standards.</w:t>
      </w:r>
    </w:p>
    <w:p w14:paraId="11709ECF"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Promote Inclusivity:</w:t>
      </w:r>
      <w:r w:rsidRPr="000764CC">
        <w:rPr>
          <w:rFonts w:cs="Arial"/>
          <w:szCs w:val="21"/>
        </w:rPr>
        <w:t xml:space="preserve"> Ensure messages reflect California’s linguistic and cultural diversity.</w:t>
      </w:r>
    </w:p>
    <w:p w14:paraId="28892EC9"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Support Transparency:</w:t>
      </w:r>
      <w:r w:rsidRPr="000764CC">
        <w:rPr>
          <w:rFonts w:cs="Arial"/>
          <w:szCs w:val="21"/>
        </w:rPr>
        <w:t xml:space="preserve"> Provide insight through metrics and dashboards that measure clarity, accessibility, and customer satisfaction.</w:t>
      </w:r>
    </w:p>
    <w:p w14:paraId="31D4A8B7"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Enable Continuous Improvement:</w:t>
      </w:r>
      <w:r w:rsidRPr="000764CC">
        <w:rPr>
          <w:rFonts w:cs="Arial"/>
          <w:szCs w:val="21"/>
        </w:rPr>
        <w:t xml:space="preserve"> Capture and apply lessons from customer and county feedback to strengthen outreach effectiveness.</w:t>
      </w:r>
    </w:p>
    <w:p w14:paraId="46594A33"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1.</w:t>
      </w:r>
      <w:r w:rsidRPr="000764CC">
        <w:rPr>
          <w:rFonts w:cs="Arial"/>
          <w:b/>
          <w:bCs/>
          <w:color w:val="0D0D0D" w:themeColor="text1" w:themeTint="F2"/>
          <w:szCs w:val="21"/>
        </w:rPr>
        <w:tab/>
        <w:t>Accessibility and Inclusive Design Validation</w:t>
      </w:r>
    </w:p>
    <w:p w14:paraId="6A805892" w14:textId="77777777" w:rsidR="000764CC" w:rsidRPr="000764CC" w:rsidRDefault="000764CC" w:rsidP="004E2111">
      <w:pPr>
        <w:spacing w:before="120" w:after="120"/>
        <w:ind w:left="360"/>
        <w:rPr>
          <w:rFonts w:cstheme="minorHAnsi"/>
          <w:color w:val="auto"/>
        </w:rPr>
      </w:pPr>
      <w:r w:rsidRPr="000764CC">
        <w:rPr>
          <w:rFonts w:cstheme="minorHAnsi"/>
          <w:color w:val="auto"/>
        </w:rPr>
        <w:lastRenderedPageBreak/>
        <w:t>Accessibility is not a compliance activity; it is a reflection of equitable service delivery. IBM integrates accessibility validation throughout QA lifecycle activities to ensure all customers can independently understand and interact with CalSAWS content.</w:t>
      </w:r>
    </w:p>
    <w:p w14:paraId="58D2D545" w14:textId="77777777" w:rsidR="000764CC" w:rsidRPr="000764CC" w:rsidRDefault="000764CC" w:rsidP="004E2111">
      <w:pPr>
        <w:spacing w:before="120" w:after="120"/>
        <w:ind w:left="360"/>
        <w:rPr>
          <w:rFonts w:cs="Arial"/>
          <w:b/>
          <w:bCs/>
          <w:color w:val="0D0D0D" w:themeColor="text1" w:themeTint="F2"/>
          <w:szCs w:val="21"/>
        </w:rPr>
      </w:pPr>
      <w:r w:rsidRPr="000764CC">
        <w:rPr>
          <w:rFonts w:cs="Arial"/>
          <w:b/>
          <w:bCs/>
          <w:color w:val="0D0D0D" w:themeColor="text1" w:themeTint="F2"/>
          <w:szCs w:val="21"/>
        </w:rPr>
        <w:t>Core Activities</w:t>
      </w:r>
    </w:p>
    <w:p w14:paraId="2B4C980D" w14:textId="361FEF14" w:rsidR="000764CC" w:rsidRPr="000764CC" w:rsidRDefault="000764CC" w:rsidP="004E2111">
      <w:pPr>
        <w:numPr>
          <w:ilvl w:val="0"/>
          <w:numId w:val="11"/>
        </w:numPr>
        <w:spacing w:before="60"/>
        <w:ind w:left="717" w:hanging="357"/>
        <w:rPr>
          <w:rFonts w:cs="Arial"/>
          <w:szCs w:val="21"/>
        </w:rPr>
      </w:pPr>
      <w:r w:rsidRPr="000764CC">
        <w:rPr>
          <w:rFonts w:cs="Arial"/>
          <w:b/>
          <w:bCs/>
          <w:szCs w:val="21"/>
        </w:rPr>
        <w:t>Automated Scanning:</w:t>
      </w:r>
      <w:r w:rsidRPr="000764CC">
        <w:rPr>
          <w:rFonts w:cs="Arial"/>
          <w:szCs w:val="21"/>
        </w:rPr>
        <w:t xml:space="preserve"> IBM Equal Access Toolset and Axe API validate </w:t>
      </w:r>
      <w:r w:rsidR="007803F6">
        <w:rPr>
          <w:rFonts w:cs="Arial"/>
          <w:szCs w:val="21"/>
        </w:rPr>
        <w:t>Notices of Action</w:t>
      </w:r>
      <w:r w:rsidRPr="000764CC">
        <w:rPr>
          <w:rFonts w:cs="Arial"/>
          <w:szCs w:val="21"/>
        </w:rPr>
        <w:t>, PDFs, and portal content for WCAG 2.1 AA and Section 508 compliance.</w:t>
      </w:r>
    </w:p>
    <w:p w14:paraId="3471F859"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Manual Validation:</w:t>
      </w:r>
      <w:r w:rsidRPr="000764CC">
        <w:rPr>
          <w:rFonts w:cs="Arial"/>
          <w:szCs w:val="21"/>
        </w:rPr>
        <w:t xml:space="preserve"> Certified specialists perform JAWS, NVDA, and VoiceOver testing to ensure correct screen-reader order and keyboard accessibility.</w:t>
      </w:r>
    </w:p>
    <w:p w14:paraId="13514F11" w14:textId="4C04D5AF" w:rsidR="000764CC" w:rsidRPr="000764CC" w:rsidRDefault="000764CC" w:rsidP="004E2111">
      <w:pPr>
        <w:numPr>
          <w:ilvl w:val="0"/>
          <w:numId w:val="11"/>
        </w:numPr>
        <w:spacing w:before="60"/>
        <w:ind w:left="717" w:hanging="357"/>
        <w:rPr>
          <w:rFonts w:cs="Arial"/>
        </w:rPr>
      </w:pPr>
      <w:r w:rsidRPr="19535F77">
        <w:rPr>
          <w:rFonts w:cs="Arial"/>
          <w:b/>
        </w:rPr>
        <w:t>Form and PDF Validation:</w:t>
      </w:r>
      <w:r w:rsidRPr="19535F77">
        <w:rPr>
          <w:rFonts w:cs="Arial"/>
        </w:rPr>
        <w:t xml:space="preserve"> Tag structure, reading order, and field labeling verified for all system-generated correspondence.</w:t>
      </w:r>
    </w:p>
    <w:p w14:paraId="236D27FF" w14:textId="748B2DE4" w:rsidR="009E6148" w:rsidRPr="00AF20BA" w:rsidRDefault="00A82685" w:rsidP="004E2111">
      <w:pPr>
        <w:numPr>
          <w:ilvl w:val="0"/>
          <w:numId w:val="11"/>
        </w:numPr>
        <w:spacing w:before="60"/>
        <w:ind w:left="717" w:hanging="357"/>
        <w:rPr>
          <w:rFonts w:cs="Arial"/>
          <w:szCs w:val="21"/>
        </w:rPr>
      </w:pPr>
      <w:r>
        <w:rPr>
          <w:noProof/>
        </w:rPr>
        <mc:AlternateContent>
          <mc:Choice Requires="wps">
            <w:drawing>
              <wp:anchor distT="0" distB="0" distL="114300" distR="114300" simplePos="0" relativeHeight="251658261" behindDoc="0" locked="0" layoutInCell="1" allowOverlap="1" wp14:anchorId="6C8C9C80" wp14:editId="1DBEB32F">
                <wp:simplePos x="0" y="0"/>
                <wp:positionH relativeFrom="column">
                  <wp:posOffset>496570</wp:posOffset>
                </wp:positionH>
                <wp:positionV relativeFrom="paragraph">
                  <wp:posOffset>1163281</wp:posOffset>
                </wp:positionV>
                <wp:extent cx="4873625" cy="635"/>
                <wp:effectExtent l="0" t="0" r="3175" b="12065"/>
                <wp:wrapTopAndBottom/>
                <wp:docPr id="1219624891" name="Text Box 1"/>
                <wp:cNvGraphicFramePr/>
                <a:graphic xmlns:a="http://schemas.openxmlformats.org/drawingml/2006/main">
                  <a:graphicData uri="http://schemas.microsoft.com/office/word/2010/wordprocessingShape">
                    <wps:wsp>
                      <wps:cNvSpPr txBox="1"/>
                      <wps:spPr>
                        <a:xfrm>
                          <a:off x="0" y="0"/>
                          <a:ext cx="4873625" cy="635"/>
                        </a:xfrm>
                        <a:prstGeom prst="rect">
                          <a:avLst/>
                        </a:prstGeom>
                        <a:solidFill>
                          <a:prstClr val="white"/>
                        </a:solidFill>
                        <a:ln>
                          <a:noFill/>
                        </a:ln>
                      </wps:spPr>
                      <wps:txbx>
                        <w:txbxContent>
                          <w:p w14:paraId="5701E3B0" w14:textId="75FD13FF" w:rsidR="00A82685" w:rsidRPr="00C8075A" w:rsidRDefault="00A82685" w:rsidP="00A82685">
                            <w:pPr>
                              <w:pStyle w:val="Caption"/>
                              <w:jc w:val="center"/>
                              <w:rPr>
                                <w:rFonts w:cs="Arial"/>
                                <w:noProof/>
                                <w:color w:val="000000" w:themeColor="text1"/>
                                <w:sz w:val="22"/>
                                <w:szCs w:val="21"/>
                              </w:rPr>
                            </w:pPr>
                            <w:bookmarkStart w:id="43" w:name="_Toc212200126"/>
                            <w:r>
                              <w:t xml:space="preserve">Figure 4.2.3. </w:t>
                            </w:r>
                            <w:r>
                              <w:fldChar w:fldCharType="begin"/>
                            </w:r>
                            <w:r>
                              <w:instrText xml:space="preserve"> SEQ Figure_4.2.3. \* ARABIC </w:instrText>
                            </w:r>
                            <w:r>
                              <w:fldChar w:fldCharType="separate"/>
                            </w:r>
                            <w:r w:rsidR="00FB29F8">
                              <w:rPr>
                                <w:noProof/>
                              </w:rPr>
                              <w:t>1</w:t>
                            </w:r>
                            <w:r>
                              <w:fldChar w:fldCharType="end"/>
                            </w:r>
                            <w:r>
                              <w:t xml:space="preserve"> QA Deliverables Process Flow</w:t>
                            </w:r>
                            <w:bookmarkEnd w:id="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C8C9C80" id="_x0000_s1032" type="#_x0000_t202" style="position:absolute;left:0;text-align:left;margin-left:39.1pt;margin-top:91.6pt;width:383.75pt;height:.0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" stroked="f">
                <v:textbox style="mso-fit-shape-to-text:t" inset="0,0,0,0">
                  <w:txbxContent>
                    <w:p w14:paraId="5701E3B0" w14:textId="75FD13FF" w:rsidR="00A82685" w:rsidRPr="00C8075A" w:rsidRDefault="00A82685" w:rsidP="00A82685">
                      <w:pPr>
                        <w:pStyle w:val="Caption"/>
                        <w:jc w:val="center"/>
                        <w:rPr>
                          <w:rFonts w:cs="Arial"/>
                          <w:noProof/>
                          <w:color w:val="000000" w:themeColor="text1"/>
                          <w:sz w:val="22"/>
                          <w:szCs w:val="21"/>
                        </w:rPr>
                      </w:pPr>
                      <w:bookmarkStart w:id="44" w:name="_Toc212200126"/>
                      <w:r>
                        <w:t xml:space="preserve">Figure 4.2.3. </w:t>
                      </w:r>
                      <w:r>
                        <w:fldChar w:fldCharType="begin"/>
                      </w:r>
                      <w:r>
                        <w:instrText xml:space="preserve"> SEQ Figure_4.2.3. \* ARABIC </w:instrText>
                      </w:r>
                      <w:r>
                        <w:fldChar w:fldCharType="separate"/>
                      </w:r>
                      <w:r w:rsidR="00FB29F8">
                        <w:rPr>
                          <w:noProof/>
                        </w:rPr>
                        <w:t>1</w:t>
                      </w:r>
                      <w:r>
                        <w:fldChar w:fldCharType="end"/>
                      </w:r>
                      <w:r>
                        <w:t xml:space="preserve"> QA Deliverables Process Flow</w:t>
                      </w:r>
                      <w:bookmarkEnd w:id="44"/>
                    </w:p>
                  </w:txbxContent>
                </v:textbox>
                <w10:wrap type="topAndBottom"/>
              </v:shape>
            </w:pict>
          </mc:Fallback>
        </mc:AlternateContent>
      </w:r>
      <w:r w:rsidR="009E6148">
        <w:rPr>
          <w:rFonts w:cs="Arial"/>
          <w:noProof/>
          <w:szCs w:val="21"/>
        </w:rPr>
        <w:drawing>
          <wp:anchor distT="0" distB="0" distL="114300" distR="114300" simplePos="0" relativeHeight="251658247" behindDoc="0" locked="0" layoutInCell="1" allowOverlap="1" wp14:anchorId="319CC85C" wp14:editId="2A738324">
            <wp:simplePos x="0" y="0"/>
            <wp:positionH relativeFrom="column">
              <wp:posOffset>496622</wp:posOffset>
            </wp:positionH>
            <wp:positionV relativeFrom="paragraph">
              <wp:posOffset>374119</wp:posOffset>
            </wp:positionV>
            <wp:extent cx="4873625" cy="911225"/>
            <wp:effectExtent l="0" t="0" r="3175" b="0"/>
            <wp:wrapTopAndBottom/>
            <wp:docPr id="1162972415" name="Picture 23"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972415" name="Picture 23" descr="A diagram of a process&#10;&#10;AI-generated content may be incorrect."/>
                    <pic:cNvPicPr/>
                  </pic:nvPicPr>
                  <pic:blipFill rotWithShape="1">
                    <a:blip r:embed="rId18" cstate="print">
                      <a:extLst>
                        <a:ext uri="{28A0092B-C50C-407E-A947-70E740481C1C}">
                          <a14:useLocalDpi xmlns:a14="http://schemas.microsoft.com/office/drawing/2010/main" val="0"/>
                        </a:ext>
                      </a:extLst>
                    </a:blip>
                    <a:srcRect t="31739" b="32604"/>
                    <a:stretch>
                      <a:fillRect/>
                    </a:stretch>
                  </pic:blipFill>
                  <pic:spPr bwMode="auto">
                    <a:xfrm>
                      <a:off x="0" y="0"/>
                      <a:ext cx="4873625" cy="911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764CC" w:rsidRPr="000764CC">
        <w:rPr>
          <w:rFonts w:cs="Arial"/>
          <w:b/>
          <w:bCs/>
          <w:szCs w:val="21"/>
        </w:rPr>
        <w:t>Reporting:</w:t>
      </w:r>
      <w:r w:rsidR="000764CC" w:rsidRPr="000764CC">
        <w:rPr>
          <w:rFonts w:cs="Arial"/>
          <w:szCs w:val="21"/>
        </w:rPr>
        <w:t xml:space="preserve"> Accessibility results integrated into QA Metrics Dashboard (D-QA-04) and reported through Consortium governance channels.</w:t>
      </w:r>
    </w:p>
    <w:p w14:paraId="72D6D71C" w14:textId="4A2FEC13"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2.</w:t>
      </w:r>
      <w:r w:rsidRPr="000764CC">
        <w:rPr>
          <w:rFonts w:cs="Arial"/>
          <w:b/>
          <w:bCs/>
          <w:color w:val="0D0D0D" w:themeColor="text1" w:themeTint="F2"/>
          <w:szCs w:val="21"/>
        </w:rPr>
        <w:tab/>
        <w:t>Multilingual and Cultural Validation</w:t>
      </w:r>
    </w:p>
    <w:p w14:paraId="37075491" w14:textId="77777777" w:rsidR="000764CC" w:rsidRPr="000764CC" w:rsidRDefault="000764CC" w:rsidP="004E2111">
      <w:pPr>
        <w:spacing w:before="120" w:after="120"/>
        <w:ind w:left="360"/>
        <w:rPr>
          <w:rFonts w:cs="Arial"/>
          <w:color w:val="0D0D0D" w:themeColor="text1" w:themeTint="F2"/>
          <w:szCs w:val="21"/>
        </w:rPr>
      </w:pPr>
      <w:r w:rsidRPr="000764CC">
        <w:rPr>
          <w:rFonts w:cs="Arial"/>
          <w:color w:val="0D0D0D" w:themeColor="text1" w:themeTint="F2"/>
          <w:szCs w:val="21"/>
        </w:rPr>
        <w:t>California’s linguistic diversity demands QA that extends beyond translation accuracy to cultural resonance. IBM’s dual-mode approach combines automation with human review for complete coverage.</w:t>
      </w:r>
    </w:p>
    <w:p w14:paraId="2F442135" w14:textId="77777777" w:rsidR="000764CC" w:rsidRPr="000764CC" w:rsidRDefault="000764CC" w:rsidP="004E2111">
      <w:pPr>
        <w:spacing w:before="120" w:after="120"/>
        <w:ind w:left="360"/>
        <w:rPr>
          <w:rFonts w:cs="Arial"/>
          <w:b/>
          <w:bCs/>
          <w:color w:val="0D0D0D" w:themeColor="text1" w:themeTint="F2"/>
          <w:szCs w:val="21"/>
        </w:rPr>
      </w:pPr>
      <w:r w:rsidRPr="000764CC">
        <w:rPr>
          <w:rFonts w:cs="Arial"/>
          <w:b/>
          <w:bCs/>
          <w:color w:val="0D0D0D" w:themeColor="text1" w:themeTint="F2"/>
          <w:szCs w:val="21"/>
        </w:rPr>
        <w:t>Core Activities</w:t>
      </w:r>
    </w:p>
    <w:p w14:paraId="63BAC29F" w14:textId="5A5FC4DE" w:rsidR="000764CC" w:rsidRPr="000764CC" w:rsidRDefault="000764CC" w:rsidP="004E2111">
      <w:pPr>
        <w:numPr>
          <w:ilvl w:val="0"/>
          <w:numId w:val="11"/>
        </w:numPr>
        <w:spacing w:before="60"/>
        <w:ind w:left="717" w:hanging="357"/>
        <w:rPr>
          <w:rFonts w:cs="Arial"/>
          <w:szCs w:val="21"/>
        </w:rPr>
      </w:pPr>
      <w:r w:rsidRPr="000764CC">
        <w:rPr>
          <w:rFonts w:cs="Arial"/>
          <w:b/>
          <w:bCs/>
          <w:szCs w:val="21"/>
        </w:rPr>
        <w:t>Automated Translation Validation:</w:t>
      </w:r>
      <w:r w:rsidRPr="000764CC">
        <w:rPr>
          <w:rFonts w:cs="Arial"/>
          <w:szCs w:val="21"/>
        </w:rPr>
        <w:t xml:space="preserve"> IBM’s Linguistic QA Automation Suite detects truncations, omissions, or mistranslations across </w:t>
      </w:r>
      <w:r w:rsidR="003E10F9">
        <w:rPr>
          <w:rFonts w:cs="Arial"/>
          <w:szCs w:val="21"/>
        </w:rPr>
        <w:t>Notice of Action</w:t>
      </w:r>
      <w:r w:rsidR="003E10F9" w:rsidRPr="000764CC">
        <w:rPr>
          <w:rFonts w:cs="Arial"/>
          <w:szCs w:val="21"/>
        </w:rPr>
        <w:t xml:space="preserve"> </w:t>
      </w:r>
      <w:r w:rsidRPr="000764CC">
        <w:rPr>
          <w:rFonts w:cs="Arial"/>
          <w:szCs w:val="21"/>
        </w:rPr>
        <w:t>templates.</w:t>
      </w:r>
    </w:p>
    <w:p w14:paraId="0EC93BD6"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Human Linguistic Review:</w:t>
      </w:r>
      <w:r w:rsidRPr="000764CC">
        <w:rPr>
          <w:rFonts w:cs="Arial"/>
          <w:szCs w:val="21"/>
        </w:rPr>
        <w:t xml:space="preserve"> Certified bilingual specialists validate tone, phrasing, and accuracy.</w:t>
      </w:r>
    </w:p>
    <w:p w14:paraId="59092DB3"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Localized UX Validation:</w:t>
      </w:r>
      <w:r w:rsidRPr="000764CC">
        <w:rPr>
          <w:rFonts w:cs="Arial"/>
          <w:szCs w:val="21"/>
        </w:rPr>
        <w:t xml:space="preserve"> QA verifies that translated text fits UI elements and maintains readability.</w:t>
      </w:r>
    </w:p>
    <w:p w14:paraId="502B0544" w14:textId="14175062" w:rsidR="000764CC" w:rsidRPr="000764CC" w:rsidRDefault="000764CC" w:rsidP="004E2111">
      <w:pPr>
        <w:numPr>
          <w:ilvl w:val="0"/>
          <w:numId w:val="11"/>
        </w:numPr>
        <w:spacing w:before="60"/>
        <w:ind w:left="717" w:hanging="357"/>
        <w:rPr>
          <w:rFonts w:cs="Arial"/>
          <w:szCs w:val="21"/>
        </w:rPr>
      </w:pPr>
      <w:r w:rsidRPr="000764CC">
        <w:rPr>
          <w:rFonts w:cs="Arial"/>
          <w:b/>
          <w:bCs/>
          <w:szCs w:val="21"/>
        </w:rPr>
        <w:t>Cultural Context Assessment:</w:t>
      </w:r>
      <w:r w:rsidRPr="000764CC">
        <w:rPr>
          <w:rFonts w:cs="Arial"/>
          <w:szCs w:val="21"/>
        </w:rPr>
        <w:t xml:space="preserve"> Evaluates imagery, idioms, and terminology for cultural sensitivity</w:t>
      </w:r>
      <w:r w:rsidR="00DB4063">
        <w:rPr>
          <w:rFonts w:cs="Arial"/>
          <w:szCs w:val="21"/>
        </w:rPr>
        <w:t xml:space="preserve"> </w:t>
      </w:r>
      <w:r w:rsidRPr="000764CC">
        <w:rPr>
          <w:rFonts w:cs="Arial"/>
          <w:szCs w:val="21"/>
        </w:rPr>
        <w:t>—</w:t>
      </w:r>
      <w:r w:rsidR="00DB4063">
        <w:rPr>
          <w:rFonts w:cs="Arial"/>
          <w:szCs w:val="21"/>
        </w:rPr>
        <w:t xml:space="preserve"> </w:t>
      </w:r>
      <w:r w:rsidRPr="000764CC">
        <w:rPr>
          <w:rFonts w:cs="Arial"/>
          <w:szCs w:val="21"/>
        </w:rPr>
        <w:t>especially for health and family services content.</w:t>
      </w:r>
    </w:p>
    <w:p w14:paraId="1D75E85B"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3.</w:t>
      </w:r>
      <w:r w:rsidRPr="000764CC">
        <w:rPr>
          <w:rFonts w:cs="Arial"/>
          <w:b/>
          <w:bCs/>
          <w:color w:val="0D0D0D" w:themeColor="text1" w:themeTint="F2"/>
          <w:szCs w:val="21"/>
        </w:rPr>
        <w:tab/>
        <w:t>Customer Journey Validation</w:t>
      </w:r>
    </w:p>
    <w:p w14:paraId="4F5FBF0D" w14:textId="77777777" w:rsidR="000764CC" w:rsidRPr="000764CC" w:rsidRDefault="000764CC" w:rsidP="004E2111">
      <w:pPr>
        <w:spacing w:before="120" w:after="120"/>
        <w:ind w:left="360"/>
        <w:rPr>
          <w:rFonts w:cstheme="minorHAnsi"/>
          <w:color w:val="auto"/>
        </w:rPr>
      </w:pPr>
      <w:r w:rsidRPr="000764CC">
        <w:rPr>
          <w:rFonts w:cstheme="minorHAnsi"/>
          <w:color w:val="auto"/>
        </w:rPr>
        <w:t>QA verifies that communications remain accurate and cohesive throughout the customer’s end-to-end journey across CalSAWS and BenefitsCal.</w:t>
      </w:r>
    </w:p>
    <w:p w14:paraId="27314751" w14:textId="77777777" w:rsidR="000764CC" w:rsidRPr="000764CC" w:rsidRDefault="000764CC" w:rsidP="004E2111">
      <w:pPr>
        <w:spacing w:before="120" w:after="120"/>
        <w:ind w:left="360"/>
        <w:rPr>
          <w:rFonts w:cs="Arial"/>
          <w:b/>
          <w:bCs/>
          <w:color w:val="0D0D0D" w:themeColor="text1" w:themeTint="F2"/>
          <w:szCs w:val="21"/>
        </w:rPr>
      </w:pPr>
      <w:r w:rsidRPr="000764CC">
        <w:rPr>
          <w:rFonts w:cs="Arial"/>
          <w:b/>
          <w:bCs/>
          <w:color w:val="0D0D0D" w:themeColor="text1" w:themeTint="F2"/>
          <w:szCs w:val="21"/>
        </w:rPr>
        <w:t>Core Activities</w:t>
      </w:r>
    </w:p>
    <w:p w14:paraId="2889AFFD"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Scenario Construction:</w:t>
      </w:r>
      <w:r w:rsidRPr="000764CC">
        <w:rPr>
          <w:rFonts w:cs="Arial"/>
          <w:szCs w:val="21"/>
        </w:rPr>
        <w:t xml:space="preserve"> End-to-end test cases mimic real customer experiences from application to notice delivery.</w:t>
      </w:r>
    </w:p>
    <w:p w14:paraId="45315447"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Persona-Driven Testing:</w:t>
      </w:r>
      <w:r w:rsidRPr="000764CC">
        <w:rPr>
          <w:rFonts w:cs="Arial"/>
          <w:szCs w:val="21"/>
        </w:rPr>
        <w:t xml:space="preserve"> Personas such as “working parent,” “elderly Medi-Cal member,” or “LEP family” guide test coverage.</w:t>
      </w:r>
    </w:p>
    <w:p w14:paraId="107AF9B1"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t>Cross-System Validation:</w:t>
      </w:r>
      <w:r w:rsidRPr="000764CC">
        <w:rPr>
          <w:rFonts w:cs="Arial"/>
          <w:szCs w:val="21"/>
        </w:rPr>
        <w:t xml:space="preserve"> Confirms data accuracy between CalSAWS and BenefitsCal and consistency of notices across channels.</w:t>
      </w:r>
    </w:p>
    <w:p w14:paraId="58C9C33B" w14:textId="77777777" w:rsidR="000764CC" w:rsidRPr="000764CC" w:rsidRDefault="000764CC" w:rsidP="004E2111">
      <w:pPr>
        <w:numPr>
          <w:ilvl w:val="0"/>
          <w:numId w:val="11"/>
        </w:numPr>
        <w:spacing w:before="60"/>
        <w:ind w:left="717" w:hanging="357"/>
        <w:rPr>
          <w:rFonts w:cs="Arial"/>
          <w:szCs w:val="21"/>
        </w:rPr>
      </w:pPr>
      <w:r w:rsidRPr="000764CC">
        <w:rPr>
          <w:rFonts w:cs="Arial"/>
          <w:b/>
          <w:bCs/>
          <w:szCs w:val="21"/>
        </w:rPr>
        <w:lastRenderedPageBreak/>
        <w:t>Device and Channel Validation:</w:t>
      </w:r>
      <w:r w:rsidRPr="000764CC">
        <w:rPr>
          <w:rFonts w:cs="Arial"/>
          <w:szCs w:val="21"/>
        </w:rPr>
        <w:t xml:space="preserve"> Ensures responsive design and message readability across browsers and devices.</w:t>
      </w:r>
    </w:p>
    <w:p w14:paraId="6B14F6F7" w14:textId="638E1CC7" w:rsidR="001423D7" w:rsidRPr="00176E31" w:rsidRDefault="00A82685" w:rsidP="00176E31">
      <w:pPr>
        <w:numPr>
          <w:ilvl w:val="0"/>
          <w:numId w:val="11"/>
        </w:numPr>
        <w:spacing w:before="60"/>
        <w:ind w:left="717" w:hanging="357"/>
        <w:rPr>
          <w:rFonts w:cs="Arial"/>
          <w:i/>
          <w:iCs/>
          <w:color w:val="0D0D0D" w:themeColor="text1" w:themeTint="F2"/>
          <w:szCs w:val="21"/>
        </w:rPr>
      </w:pPr>
      <w:r>
        <w:rPr>
          <w:noProof/>
        </w:rPr>
        <mc:AlternateContent>
          <mc:Choice Requires="wps">
            <w:drawing>
              <wp:anchor distT="0" distB="0" distL="114300" distR="114300" simplePos="0" relativeHeight="251658262" behindDoc="0" locked="0" layoutInCell="1" allowOverlap="1" wp14:anchorId="549CB3C2" wp14:editId="32C1900D">
                <wp:simplePos x="0" y="0"/>
                <wp:positionH relativeFrom="column">
                  <wp:posOffset>565150</wp:posOffset>
                </wp:positionH>
                <wp:positionV relativeFrom="paragraph">
                  <wp:posOffset>1654175</wp:posOffset>
                </wp:positionV>
                <wp:extent cx="4779010" cy="635"/>
                <wp:effectExtent l="0" t="0" r="0" b="12065"/>
                <wp:wrapTopAndBottom/>
                <wp:docPr id="937063156" name="Text Box 1"/>
                <wp:cNvGraphicFramePr/>
                <a:graphic xmlns:a="http://schemas.openxmlformats.org/drawingml/2006/main">
                  <a:graphicData uri="http://schemas.microsoft.com/office/word/2010/wordprocessingShape">
                    <wps:wsp>
                      <wps:cNvSpPr txBox="1"/>
                      <wps:spPr>
                        <a:xfrm>
                          <a:off x="0" y="0"/>
                          <a:ext cx="4779010" cy="635"/>
                        </a:xfrm>
                        <a:prstGeom prst="rect">
                          <a:avLst/>
                        </a:prstGeom>
                        <a:solidFill>
                          <a:prstClr val="white"/>
                        </a:solidFill>
                        <a:ln>
                          <a:noFill/>
                        </a:ln>
                      </wps:spPr>
                      <wps:txbx>
                        <w:txbxContent>
                          <w:p w14:paraId="11B1E330" w14:textId="2181D56A" w:rsidR="00A82685" w:rsidRPr="003B6DFD" w:rsidRDefault="00A82685" w:rsidP="00A82685">
                            <w:pPr>
                              <w:pStyle w:val="Caption"/>
                              <w:jc w:val="center"/>
                              <w:rPr>
                                <w:rFonts w:cs="Arial"/>
                                <w:noProof/>
                                <w:color w:val="0D0D0D" w:themeColor="text1" w:themeTint="F2"/>
                                <w:sz w:val="22"/>
                                <w:szCs w:val="21"/>
                              </w:rPr>
                            </w:pPr>
                            <w:bookmarkStart w:id="45" w:name="_Toc212200127"/>
                            <w:r>
                              <w:t xml:space="preserve">Figure 4.2.3. </w:t>
                            </w:r>
                            <w:r>
                              <w:fldChar w:fldCharType="begin"/>
                            </w:r>
                            <w:r>
                              <w:instrText xml:space="preserve"> SEQ Figure_4.2.3. \* ARABIC </w:instrText>
                            </w:r>
                            <w:r>
                              <w:fldChar w:fldCharType="separate"/>
                            </w:r>
                            <w:r w:rsidR="00FB29F8">
                              <w:rPr>
                                <w:noProof/>
                              </w:rPr>
                              <w:t>2</w:t>
                            </w:r>
                            <w:r>
                              <w:fldChar w:fldCharType="end"/>
                            </w:r>
                            <w:r>
                              <w:t xml:space="preserve"> Communication QA Across </w:t>
                            </w:r>
                            <w:r w:rsidR="00C414A0">
                              <w:t>CalSAWS</w:t>
                            </w:r>
                            <w:r>
                              <w:t xml:space="preserve"> and BenefitsCal</w:t>
                            </w:r>
                            <w:bookmarkEnd w:id="4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49CB3C2" id="_x0000_s1033" type="#_x0000_t202" style="position:absolute;left:0;text-align:left;margin-left:44.5pt;margin-top:130.25pt;width:376.3pt;height:.05pt;z-index:25165826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" stroked="f">
                <v:textbox style="mso-fit-shape-to-text:t" inset="0,0,0,0">
                  <w:txbxContent>
                    <w:p w14:paraId="11B1E330" w14:textId="2181D56A" w:rsidR="00A82685" w:rsidRPr="003B6DFD" w:rsidRDefault="00A82685" w:rsidP="00A82685">
                      <w:pPr>
                        <w:pStyle w:val="Caption"/>
                        <w:jc w:val="center"/>
                        <w:rPr>
                          <w:rFonts w:cs="Arial"/>
                          <w:noProof/>
                          <w:color w:val="0D0D0D" w:themeColor="text1" w:themeTint="F2"/>
                          <w:sz w:val="22"/>
                          <w:szCs w:val="21"/>
                        </w:rPr>
                      </w:pPr>
                      <w:bookmarkStart w:id="46" w:name="_Toc212200127"/>
                      <w:r>
                        <w:t xml:space="preserve">Figure 4.2.3. </w:t>
                      </w:r>
                      <w:r>
                        <w:fldChar w:fldCharType="begin"/>
                      </w:r>
                      <w:r>
                        <w:instrText xml:space="preserve"> SEQ Figure_4.2.3. \* ARABIC </w:instrText>
                      </w:r>
                      <w:r>
                        <w:fldChar w:fldCharType="separate"/>
                      </w:r>
                      <w:r w:rsidR="00FB29F8">
                        <w:rPr>
                          <w:noProof/>
                        </w:rPr>
                        <w:t>2</w:t>
                      </w:r>
                      <w:r>
                        <w:fldChar w:fldCharType="end"/>
                      </w:r>
                      <w:r>
                        <w:t xml:space="preserve"> Communication QA Across </w:t>
                      </w:r>
                      <w:r w:rsidR="00C414A0">
                        <w:t>CalSAWS</w:t>
                      </w:r>
                      <w:r>
                        <w:t xml:space="preserve"> and BenefitsCal</w:t>
                      </w:r>
                      <w:bookmarkEnd w:id="46"/>
                    </w:p>
                  </w:txbxContent>
                </v:textbox>
                <w10:wrap type="topAndBottom"/>
              </v:shape>
            </w:pict>
          </mc:Fallback>
        </mc:AlternateContent>
      </w:r>
      <w:r w:rsidR="001423D7">
        <w:rPr>
          <w:rFonts w:cs="Arial"/>
          <w:i/>
          <w:iCs/>
          <w:noProof/>
          <w:color w:val="0D0D0D" w:themeColor="text1" w:themeTint="F2"/>
          <w:szCs w:val="21"/>
        </w:rPr>
        <w:drawing>
          <wp:anchor distT="0" distB="0" distL="114300" distR="114300" simplePos="0" relativeHeight="251658250" behindDoc="0" locked="0" layoutInCell="1" allowOverlap="1" wp14:anchorId="31E99C27" wp14:editId="59523133">
            <wp:simplePos x="0" y="0"/>
            <wp:positionH relativeFrom="column">
              <wp:posOffset>565608</wp:posOffset>
            </wp:positionH>
            <wp:positionV relativeFrom="paragraph">
              <wp:posOffset>421005</wp:posOffset>
            </wp:positionV>
            <wp:extent cx="4779010" cy="1176020"/>
            <wp:effectExtent l="0" t="0" r="0" b="0"/>
            <wp:wrapTopAndBottom/>
            <wp:docPr id="1835533326" name="Picture 25" descr="A blue and white sign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533326" name="Picture 25" descr="A blue and white sign with text&#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79010" cy="1176020"/>
                    </a:xfrm>
                    <a:prstGeom prst="rect">
                      <a:avLst/>
                    </a:prstGeom>
                  </pic:spPr>
                </pic:pic>
              </a:graphicData>
            </a:graphic>
            <wp14:sizeRelH relativeFrom="page">
              <wp14:pctWidth>0</wp14:pctWidth>
            </wp14:sizeRelH>
            <wp14:sizeRelV relativeFrom="page">
              <wp14:pctHeight>0</wp14:pctHeight>
            </wp14:sizeRelV>
          </wp:anchor>
        </w:drawing>
      </w:r>
      <w:r w:rsidR="000764CC" w:rsidRPr="000764CC">
        <w:rPr>
          <w:rFonts w:cs="Arial"/>
          <w:b/>
          <w:bCs/>
          <w:szCs w:val="21"/>
        </w:rPr>
        <w:t>Readability Analysis:</w:t>
      </w:r>
      <w:r w:rsidR="000764CC" w:rsidRPr="000764CC">
        <w:rPr>
          <w:rFonts w:cs="Arial"/>
          <w:szCs w:val="21"/>
        </w:rPr>
        <w:t xml:space="preserve"> AI-based Readability Analyzer scores notices for clarity and grade-level compliance.</w:t>
      </w:r>
    </w:p>
    <w:p w14:paraId="090FA4D9" w14:textId="307DF461"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4.</w:t>
      </w:r>
      <w:r w:rsidRPr="000764CC">
        <w:rPr>
          <w:rFonts w:cs="Arial"/>
          <w:b/>
          <w:bCs/>
          <w:color w:val="0D0D0D" w:themeColor="text1" w:themeTint="F2"/>
          <w:szCs w:val="21"/>
        </w:rPr>
        <w:tab/>
        <w:t>Feedback and Continuous Improvement Loops</w:t>
      </w:r>
    </w:p>
    <w:p w14:paraId="3833BBE6" w14:textId="77777777" w:rsidR="000764CC" w:rsidRPr="000764CC" w:rsidRDefault="000764CC" w:rsidP="00CF7600">
      <w:pPr>
        <w:numPr>
          <w:ilvl w:val="1"/>
          <w:numId w:val="53"/>
        </w:numPr>
        <w:spacing w:before="60"/>
        <w:rPr>
          <w:rFonts w:cs="Arial"/>
          <w:szCs w:val="21"/>
        </w:rPr>
      </w:pPr>
      <w:r w:rsidRPr="000764CC">
        <w:rPr>
          <w:rFonts w:cs="Arial"/>
          <w:szCs w:val="21"/>
        </w:rPr>
        <w:t>IBM embeds structured feedback loops within the Consortium’s communication governance model to ensure continuous improvement:</w:t>
      </w:r>
    </w:p>
    <w:p w14:paraId="33BC40B2" w14:textId="77777777" w:rsidR="000764CC" w:rsidRPr="000764CC" w:rsidRDefault="000764CC" w:rsidP="00CF7600">
      <w:pPr>
        <w:numPr>
          <w:ilvl w:val="1"/>
          <w:numId w:val="53"/>
        </w:numPr>
        <w:spacing w:before="60"/>
        <w:rPr>
          <w:rFonts w:cs="Arial"/>
          <w:szCs w:val="21"/>
        </w:rPr>
      </w:pPr>
      <w:r w:rsidRPr="000764CC">
        <w:rPr>
          <w:rFonts w:cs="Arial"/>
          <w:b/>
          <w:bCs/>
          <w:szCs w:val="21"/>
        </w:rPr>
        <w:t>County Feedback Integration:</w:t>
      </w:r>
      <w:r w:rsidRPr="000764CC">
        <w:rPr>
          <w:rFonts w:cs="Arial"/>
          <w:szCs w:val="21"/>
        </w:rPr>
        <w:t xml:space="preserve"> Feedback from caseworkers logged through JIRA and linked to QA metrics.</w:t>
      </w:r>
    </w:p>
    <w:p w14:paraId="580AB3D8" w14:textId="77777777" w:rsidR="000764CC" w:rsidRPr="000764CC" w:rsidRDefault="000764CC" w:rsidP="00CF7600">
      <w:pPr>
        <w:numPr>
          <w:ilvl w:val="1"/>
          <w:numId w:val="53"/>
        </w:numPr>
        <w:spacing w:before="60"/>
        <w:rPr>
          <w:rFonts w:cs="Arial"/>
          <w:szCs w:val="21"/>
        </w:rPr>
      </w:pPr>
      <w:r w:rsidRPr="000764CC">
        <w:rPr>
          <w:rFonts w:cs="Arial"/>
          <w:b/>
          <w:bCs/>
          <w:szCs w:val="21"/>
        </w:rPr>
        <w:t>Customer and Call-Center Analytics:</w:t>
      </w:r>
      <w:r w:rsidRPr="000764CC">
        <w:rPr>
          <w:rFonts w:cs="Arial"/>
          <w:szCs w:val="21"/>
        </w:rPr>
        <w:t xml:space="preserve"> Trend analysis identifies recurring confusion or complaints.</w:t>
      </w:r>
    </w:p>
    <w:p w14:paraId="2DA254BD" w14:textId="77777777" w:rsidR="000764CC" w:rsidRPr="000764CC" w:rsidRDefault="000764CC" w:rsidP="00CF7600">
      <w:pPr>
        <w:numPr>
          <w:ilvl w:val="1"/>
          <w:numId w:val="53"/>
        </w:numPr>
        <w:spacing w:before="60"/>
        <w:rPr>
          <w:rFonts w:cs="Arial"/>
          <w:szCs w:val="21"/>
        </w:rPr>
      </w:pPr>
      <w:r w:rsidRPr="000764CC">
        <w:rPr>
          <w:rFonts w:cs="Arial"/>
          <w:b/>
          <w:bCs/>
          <w:szCs w:val="21"/>
        </w:rPr>
        <w:t>Usability Walkthroughs:</w:t>
      </w:r>
      <w:r w:rsidRPr="000764CC">
        <w:rPr>
          <w:rFonts w:cs="Arial"/>
          <w:szCs w:val="21"/>
        </w:rPr>
        <w:t xml:space="preserve"> QA participates in Consortium-sponsored walkthroughs and advisory boards to refine acceptance criteria.</w:t>
      </w:r>
    </w:p>
    <w:p w14:paraId="4799A662" w14:textId="77777777" w:rsidR="000764CC" w:rsidRPr="000764CC" w:rsidRDefault="000764CC" w:rsidP="00CF7600">
      <w:pPr>
        <w:numPr>
          <w:ilvl w:val="1"/>
          <w:numId w:val="53"/>
        </w:numPr>
        <w:spacing w:before="60"/>
        <w:rPr>
          <w:rFonts w:cs="Arial"/>
          <w:szCs w:val="21"/>
        </w:rPr>
      </w:pPr>
      <w:r w:rsidRPr="000764CC">
        <w:rPr>
          <w:rFonts w:cs="Arial"/>
          <w:b/>
          <w:bCs/>
          <w:szCs w:val="21"/>
        </w:rPr>
        <w:t>Continuous Monitoring:</w:t>
      </w:r>
      <w:r w:rsidRPr="000764CC">
        <w:rPr>
          <w:rFonts w:cs="Arial"/>
          <w:szCs w:val="21"/>
        </w:rPr>
        <w:t xml:space="preserve"> Data from BenefitsCal usage informs proactive improvements to messaging clarity and usability.</w:t>
      </w:r>
    </w:p>
    <w:p w14:paraId="6C90E1A1"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5.</w:t>
      </w:r>
      <w:r w:rsidRPr="000764CC">
        <w:rPr>
          <w:rFonts w:cs="Arial"/>
          <w:b/>
          <w:bCs/>
          <w:color w:val="0D0D0D" w:themeColor="text1" w:themeTint="F2"/>
          <w:szCs w:val="21"/>
        </w:rPr>
        <w:tab/>
        <w:t>QA Organization and Roles Supporting Communications</w:t>
      </w:r>
    </w:p>
    <w:p w14:paraId="0D2CCA23" w14:textId="77777777" w:rsidR="000764CC" w:rsidRPr="000764CC" w:rsidRDefault="000764CC" w:rsidP="008C7C13">
      <w:pPr>
        <w:spacing w:before="120" w:after="120"/>
        <w:ind w:left="360"/>
        <w:rPr>
          <w:rFonts w:cs="Arial"/>
          <w:color w:val="0D0D0D" w:themeColor="text1" w:themeTint="F2"/>
          <w:szCs w:val="21"/>
        </w:rPr>
      </w:pPr>
      <w:r w:rsidRPr="000764CC">
        <w:rPr>
          <w:rFonts w:cs="Arial"/>
          <w:color w:val="0D0D0D" w:themeColor="text1" w:themeTint="F2"/>
          <w:szCs w:val="21"/>
        </w:rPr>
        <w:t>A specialized QA pod structure ensures focused validation and accountability for communications quality.</w:t>
      </w:r>
    </w:p>
    <w:p w14:paraId="0A5362E1" w14:textId="77777777" w:rsidR="000764CC" w:rsidRPr="000764CC" w:rsidRDefault="000764CC" w:rsidP="008C7C13">
      <w:pPr>
        <w:spacing w:before="120" w:after="120"/>
        <w:ind w:left="360"/>
        <w:jc w:val="center"/>
        <w:rPr>
          <w:rFonts w:cs="Arial"/>
          <w:i/>
          <w:iCs/>
          <w:sz w:val="18"/>
          <w:szCs w:val="18"/>
        </w:rPr>
      </w:pPr>
      <w:bookmarkStart w:id="47" w:name="_Toc212035128"/>
      <w:bookmarkStart w:id="48" w:name="_Toc213069564"/>
      <w:r w:rsidRPr="000764CC">
        <w:rPr>
          <w:rFonts w:cs="Arial"/>
          <w:i/>
          <w:iCs/>
          <w:sz w:val="18"/>
          <w:szCs w:val="18"/>
        </w:rPr>
        <w:t xml:space="preserve">Table </w:t>
      </w:r>
      <w:r w:rsidRPr="000764CC">
        <w:rPr>
          <w:rFonts w:cs="Arial"/>
          <w:i/>
          <w:iCs/>
          <w:sz w:val="18"/>
          <w:szCs w:val="18"/>
        </w:rPr>
        <w:fldChar w:fldCharType="begin"/>
      </w:r>
      <w:r w:rsidRPr="000764CC">
        <w:rPr>
          <w:rFonts w:cs="Arial"/>
          <w:i/>
          <w:iCs/>
          <w:sz w:val="18"/>
          <w:szCs w:val="18"/>
        </w:rPr>
        <w:instrText xml:space="preserve"> STYLEREF 3 \s </w:instrText>
      </w:r>
      <w:r w:rsidRPr="000764CC">
        <w:rPr>
          <w:rFonts w:cs="Arial"/>
          <w:i/>
          <w:iCs/>
          <w:sz w:val="18"/>
          <w:szCs w:val="18"/>
        </w:rPr>
        <w:fldChar w:fldCharType="separate"/>
      </w:r>
      <w:r w:rsidR="00FB29F8">
        <w:rPr>
          <w:rFonts w:cs="Arial"/>
          <w:i/>
          <w:iCs/>
          <w:noProof/>
          <w:sz w:val="18"/>
          <w:szCs w:val="18"/>
        </w:rPr>
        <w:t>4.2.3</w:t>
      </w:r>
      <w:r w:rsidRPr="000764CC">
        <w:rPr>
          <w:rFonts w:cs="Arial"/>
          <w:i/>
          <w:iCs/>
          <w:sz w:val="18"/>
          <w:szCs w:val="18"/>
        </w:rPr>
        <w:fldChar w:fldCharType="end"/>
      </w:r>
      <w:r w:rsidRPr="000764CC">
        <w:rPr>
          <w:rFonts w:cs="Arial"/>
          <w:i/>
          <w:iCs/>
          <w:sz w:val="18"/>
          <w:szCs w:val="18"/>
        </w:rPr>
        <w:t>.</w:t>
      </w:r>
      <w:r w:rsidRPr="000764CC">
        <w:rPr>
          <w:rFonts w:cs="Arial"/>
          <w:i/>
          <w:iCs/>
          <w:sz w:val="18"/>
          <w:szCs w:val="18"/>
        </w:rPr>
        <w:fldChar w:fldCharType="begin"/>
      </w:r>
      <w:r w:rsidRPr="000764CC">
        <w:rPr>
          <w:rFonts w:cs="Arial"/>
          <w:i/>
          <w:iCs/>
          <w:sz w:val="18"/>
          <w:szCs w:val="18"/>
        </w:rPr>
        <w:instrText xml:space="preserve"> SEQ Table \* ARABIC \s 3 </w:instrText>
      </w:r>
      <w:r w:rsidRPr="000764CC">
        <w:rPr>
          <w:rFonts w:cs="Arial"/>
          <w:i/>
          <w:iCs/>
          <w:sz w:val="18"/>
          <w:szCs w:val="18"/>
        </w:rPr>
        <w:fldChar w:fldCharType="separate"/>
      </w:r>
      <w:r w:rsidR="00FB29F8">
        <w:rPr>
          <w:rFonts w:cs="Arial"/>
          <w:i/>
          <w:iCs/>
          <w:noProof/>
          <w:sz w:val="18"/>
          <w:szCs w:val="18"/>
        </w:rPr>
        <w:t>1</w:t>
      </w:r>
      <w:r w:rsidRPr="000764CC">
        <w:rPr>
          <w:rFonts w:cs="Arial"/>
          <w:i/>
          <w:iCs/>
          <w:sz w:val="18"/>
          <w:szCs w:val="18"/>
        </w:rPr>
        <w:fldChar w:fldCharType="end"/>
      </w:r>
      <w:r w:rsidRPr="000764CC">
        <w:rPr>
          <w:rFonts w:cs="Arial"/>
          <w:i/>
          <w:iCs/>
          <w:sz w:val="18"/>
          <w:szCs w:val="18"/>
        </w:rPr>
        <w:t>: QA Organization and Roles Supporting Communications</w:t>
      </w:r>
      <w:bookmarkEnd w:id="47"/>
      <w:bookmarkEnd w:id="48"/>
    </w:p>
    <w:tbl>
      <w:tblPr>
        <w:tblStyle w:val="TableGrid"/>
        <w:tblW w:w="9345" w:type="dxa"/>
        <w:tblInd w:w="36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384"/>
        <w:gridCol w:w="6961"/>
      </w:tblGrid>
      <w:tr w:rsidR="00057EC9" w:rsidRPr="000764CC" w14:paraId="5A64904C" w14:textId="77777777" w:rsidTr="008C7C13">
        <w:trPr>
          <w:cnfStyle w:val="100000000000" w:firstRow="1" w:lastRow="0" w:firstColumn="0" w:lastColumn="0" w:oddVBand="0" w:evenVBand="0" w:oddHBand="0" w:evenHBand="0" w:firstRowFirstColumn="0" w:firstRowLastColumn="0" w:lastRowFirstColumn="0" w:lastRowLastColumn="0"/>
        </w:trPr>
        <w:tc>
          <w:tcPr>
            <w:tcW w:w="0" w:type="auto"/>
            <w:shd w:val="clear" w:color="auto" w:fill="0070C0"/>
            <w:vAlign w:val="center"/>
            <w:hideMark/>
          </w:tcPr>
          <w:p w14:paraId="3C051420"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Role</w:t>
            </w:r>
          </w:p>
        </w:tc>
        <w:tc>
          <w:tcPr>
            <w:tcW w:w="0" w:type="auto"/>
            <w:shd w:val="clear" w:color="auto" w:fill="0070C0"/>
            <w:vAlign w:val="center"/>
            <w:hideMark/>
          </w:tcPr>
          <w:p w14:paraId="29E1E6EB"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Key Responsibilities</w:t>
            </w:r>
          </w:p>
        </w:tc>
      </w:tr>
      <w:tr w:rsidR="00057EC9" w:rsidRPr="000764CC" w14:paraId="67B62F4D" w14:textId="77777777" w:rsidTr="008C7C13">
        <w:tc>
          <w:tcPr>
            <w:tcW w:w="0" w:type="auto"/>
            <w:shd w:val="clear" w:color="auto" w:fill="FFFFFF" w:themeFill="background1"/>
            <w:hideMark/>
          </w:tcPr>
          <w:p w14:paraId="5F00A606" w14:textId="77777777" w:rsidR="000764CC" w:rsidRPr="000764CC" w:rsidRDefault="000764CC" w:rsidP="000764CC">
            <w:pPr>
              <w:spacing w:before="60"/>
              <w:rPr>
                <w:rFonts w:cs="Arial"/>
                <w:szCs w:val="21"/>
              </w:rPr>
            </w:pPr>
            <w:r w:rsidRPr="000764CC">
              <w:rPr>
                <w:rFonts w:cs="Arial"/>
                <w:szCs w:val="21"/>
              </w:rPr>
              <w:t>Accessibility QA Lead</w:t>
            </w:r>
          </w:p>
        </w:tc>
        <w:tc>
          <w:tcPr>
            <w:tcW w:w="0" w:type="auto"/>
            <w:shd w:val="clear" w:color="auto" w:fill="FFFFFF" w:themeFill="background1"/>
            <w:hideMark/>
          </w:tcPr>
          <w:p w14:paraId="36EE1C08" w14:textId="77777777" w:rsidR="000764CC" w:rsidRPr="000764CC" w:rsidRDefault="000764CC" w:rsidP="000764CC">
            <w:pPr>
              <w:spacing w:before="60"/>
              <w:rPr>
                <w:rFonts w:cs="Arial"/>
                <w:szCs w:val="21"/>
              </w:rPr>
            </w:pPr>
            <w:r w:rsidRPr="000764CC">
              <w:rPr>
                <w:rFonts w:cs="Arial"/>
                <w:szCs w:val="21"/>
              </w:rPr>
              <w:t>Oversees WCAG/Section 508 compliance; conducts manual validation.</w:t>
            </w:r>
          </w:p>
        </w:tc>
      </w:tr>
      <w:tr w:rsidR="00057EC9" w:rsidRPr="000764CC" w14:paraId="52EF15C8" w14:textId="77777777" w:rsidTr="008C7C13">
        <w:tc>
          <w:tcPr>
            <w:tcW w:w="0" w:type="auto"/>
            <w:shd w:val="clear" w:color="auto" w:fill="FFFFFF" w:themeFill="background1"/>
            <w:hideMark/>
          </w:tcPr>
          <w:p w14:paraId="5341995A" w14:textId="77777777" w:rsidR="000764CC" w:rsidRPr="000764CC" w:rsidRDefault="000764CC" w:rsidP="000764CC">
            <w:pPr>
              <w:spacing w:before="60"/>
              <w:rPr>
                <w:rFonts w:cs="Arial"/>
                <w:szCs w:val="21"/>
              </w:rPr>
            </w:pPr>
            <w:r w:rsidRPr="000764CC">
              <w:rPr>
                <w:rFonts w:cs="Arial"/>
                <w:szCs w:val="21"/>
              </w:rPr>
              <w:t>Multilingual QA Specialist</w:t>
            </w:r>
          </w:p>
        </w:tc>
        <w:tc>
          <w:tcPr>
            <w:tcW w:w="0" w:type="auto"/>
            <w:shd w:val="clear" w:color="auto" w:fill="FFFFFF" w:themeFill="background1"/>
            <w:hideMark/>
          </w:tcPr>
          <w:p w14:paraId="16A4FF9E" w14:textId="77777777" w:rsidR="000764CC" w:rsidRPr="000764CC" w:rsidRDefault="000764CC" w:rsidP="000764CC">
            <w:pPr>
              <w:spacing w:before="60"/>
              <w:rPr>
                <w:rFonts w:cs="Arial"/>
                <w:szCs w:val="21"/>
              </w:rPr>
            </w:pPr>
            <w:r w:rsidRPr="000764CC">
              <w:rPr>
                <w:rFonts w:cs="Arial"/>
                <w:szCs w:val="21"/>
              </w:rPr>
              <w:t>Validates translations; ensures cultural alignment and readability.</w:t>
            </w:r>
          </w:p>
        </w:tc>
      </w:tr>
      <w:tr w:rsidR="00057EC9" w:rsidRPr="000764CC" w14:paraId="75BE2F6F" w14:textId="77777777" w:rsidTr="008C7C13">
        <w:tc>
          <w:tcPr>
            <w:tcW w:w="0" w:type="auto"/>
            <w:shd w:val="clear" w:color="auto" w:fill="FFFFFF" w:themeFill="background1"/>
            <w:hideMark/>
          </w:tcPr>
          <w:p w14:paraId="39237B24" w14:textId="77777777" w:rsidR="000764CC" w:rsidRPr="000764CC" w:rsidRDefault="000764CC" w:rsidP="000764CC">
            <w:pPr>
              <w:spacing w:before="60"/>
              <w:rPr>
                <w:rFonts w:cs="Arial"/>
                <w:szCs w:val="21"/>
              </w:rPr>
            </w:pPr>
            <w:r w:rsidRPr="000764CC">
              <w:rPr>
                <w:rFonts w:cs="Arial"/>
                <w:szCs w:val="21"/>
              </w:rPr>
              <w:t>UX / UCD QA Analyst</w:t>
            </w:r>
          </w:p>
        </w:tc>
        <w:tc>
          <w:tcPr>
            <w:tcW w:w="0" w:type="auto"/>
            <w:shd w:val="clear" w:color="auto" w:fill="FFFFFF" w:themeFill="background1"/>
            <w:hideMark/>
          </w:tcPr>
          <w:p w14:paraId="2137D39F" w14:textId="77777777" w:rsidR="000764CC" w:rsidRPr="000764CC" w:rsidRDefault="000764CC" w:rsidP="000764CC">
            <w:pPr>
              <w:spacing w:before="60"/>
              <w:rPr>
                <w:rFonts w:cs="Arial"/>
                <w:szCs w:val="21"/>
              </w:rPr>
            </w:pPr>
            <w:r w:rsidRPr="000764CC">
              <w:rPr>
                <w:rFonts w:cs="Arial"/>
                <w:szCs w:val="21"/>
              </w:rPr>
              <w:t>Performs persona-based and journey-focused testing.</w:t>
            </w:r>
          </w:p>
        </w:tc>
      </w:tr>
      <w:tr w:rsidR="00057EC9" w:rsidRPr="000764CC" w14:paraId="64158DC6" w14:textId="77777777" w:rsidTr="008C7C13">
        <w:tc>
          <w:tcPr>
            <w:tcW w:w="0" w:type="auto"/>
            <w:shd w:val="clear" w:color="auto" w:fill="FFFFFF" w:themeFill="background1"/>
            <w:hideMark/>
          </w:tcPr>
          <w:p w14:paraId="1C2EA9C4" w14:textId="77777777" w:rsidR="000764CC" w:rsidRPr="000764CC" w:rsidRDefault="000764CC" w:rsidP="000764CC">
            <w:pPr>
              <w:spacing w:before="60"/>
              <w:rPr>
                <w:rFonts w:cs="Arial"/>
                <w:szCs w:val="21"/>
              </w:rPr>
            </w:pPr>
            <w:r w:rsidRPr="000764CC">
              <w:rPr>
                <w:rFonts w:cs="Arial"/>
                <w:szCs w:val="21"/>
              </w:rPr>
              <w:t>Automation Engineer</w:t>
            </w:r>
          </w:p>
        </w:tc>
        <w:tc>
          <w:tcPr>
            <w:tcW w:w="0" w:type="auto"/>
            <w:shd w:val="clear" w:color="auto" w:fill="FFFFFF" w:themeFill="background1"/>
            <w:hideMark/>
          </w:tcPr>
          <w:p w14:paraId="4533822B" w14:textId="0F265AD8" w:rsidR="000764CC" w:rsidRPr="000764CC" w:rsidRDefault="000764CC" w:rsidP="000764CC">
            <w:pPr>
              <w:spacing w:before="60"/>
              <w:rPr>
                <w:rFonts w:cs="Arial"/>
                <w:szCs w:val="21"/>
              </w:rPr>
            </w:pPr>
            <w:r w:rsidRPr="000764CC">
              <w:rPr>
                <w:rFonts w:cs="Arial"/>
                <w:szCs w:val="21"/>
              </w:rPr>
              <w:t xml:space="preserve">Builds automated tests for </w:t>
            </w:r>
            <w:r w:rsidR="00AE3CFA">
              <w:rPr>
                <w:rFonts w:cs="Arial"/>
                <w:szCs w:val="21"/>
              </w:rPr>
              <w:t>N</w:t>
            </w:r>
            <w:r w:rsidR="00AE3CFA" w:rsidRPr="000764CC">
              <w:rPr>
                <w:rFonts w:cs="Arial"/>
                <w:szCs w:val="21"/>
              </w:rPr>
              <w:t xml:space="preserve">otices </w:t>
            </w:r>
            <w:r w:rsidR="00AE3CFA">
              <w:rPr>
                <w:rFonts w:cs="Arial"/>
                <w:szCs w:val="21"/>
              </w:rPr>
              <w:t xml:space="preserve">of Action </w:t>
            </w:r>
            <w:r w:rsidRPr="000764CC">
              <w:rPr>
                <w:rFonts w:cs="Arial"/>
                <w:szCs w:val="21"/>
              </w:rPr>
              <w:t>and BenefitsCal communications.</w:t>
            </w:r>
          </w:p>
        </w:tc>
      </w:tr>
      <w:tr w:rsidR="00057EC9" w:rsidRPr="000764CC" w14:paraId="1135CD6A" w14:textId="77777777" w:rsidTr="008C7C13">
        <w:tc>
          <w:tcPr>
            <w:tcW w:w="0" w:type="auto"/>
            <w:shd w:val="clear" w:color="auto" w:fill="FFFFFF" w:themeFill="background1"/>
            <w:hideMark/>
          </w:tcPr>
          <w:p w14:paraId="29ECE32F" w14:textId="77777777" w:rsidR="000764CC" w:rsidRPr="000764CC" w:rsidRDefault="000764CC" w:rsidP="000764CC">
            <w:pPr>
              <w:spacing w:before="60"/>
              <w:rPr>
                <w:rFonts w:cs="Arial"/>
                <w:szCs w:val="21"/>
              </w:rPr>
            </w:pPr>
            <w:r w:rsidRPr="000764CC">
              <w:rPr>
                <w:rFonts w:cs="Arial"/>
                <w:szCs w:val="21"/>
              </w:rPr>
              <w:t>Data QA Analyst</w:t>
            </w:r>
          </w:p>
        </w:tc>
        <w:tc>
          <w:tcPr>
            <w:tcW w:w="0" w:type="auto"/>
            <w:shd w:val="clear" w:color="auto" w:fill="FFFFFF" w:themeFill="background1"/>
            <w:hideMark/>
          </w:tcPr>
          <w:p w14:paraId="7FD45E62" w14:textId="77777777" w:rsidR="000764CC" w:rsidRPr="000764CC" w:rsidRDefault="000764CC" w:rsidP="000764CC">
            <w:pPr>
              <w:spacing w:before="60"/>
              <w:rPr>
                <w:rFonts w:cs="Arial"/>
                <w:szCs w:val="21"/>
              </w:rPr>
            </w:pPr>
            <w:r w:rsidRPr="000764CC">
              <w:rPr>
                <w:rFonts w:cs="Arial"/>
                <w:szCs w:val="21"/>
              </w:rPr>
              <w:t>Ensures data consistency between CalSAWS and BenefitsCal outputs.</w:t>
            </w:r>
          </w:p>
        </w:tc>
      </w:tr>
      <w:tr w:rsidR="00057EC9" w:rsidRPr="000764CC" w14:paraId="18F0ABCF" w14:textId="77777777" w:rsidTr="008C7C13">
        <w:tc>
          <w:tcPr>
            <w:tcW w:w="0" w:type="auto"/>
            <w:shd w:val="clear" w:color="auto" w:fill="FFFFFF" w:themeFill="background1"/>
            <w:hideMark/>
          </w:tcPr>
          <w:p w14:paraId="58162011" w14:textId="77777777" w:rsidR="000764CC" w:rsidRPr="000764CC" w:rsidRDefault="000764CC" w:rsidP="000764CC">
            <w:pPr>
              <w:spacing w:before="60"/>
              <w:rPr>
                <w:rFonts w:cs="Arial"/>
                <w:szCs w:val="21"/>
              </w:rPr>
            </w:pPr>
            <w:r w:rsidRPr="000764CC">
              <w:rPr>
                <w:rFonts w:cs="Arial"/>
                <w:szCs w:val="21"/>
              </w:rPr>
              <w:t>QA Manager</w:t>
            </w:r>
          </w:p>
        </w:tc>
        <w:tc>
          <w:tcPr>
            <w:tcW w:w="0" w:type="auto"/>
            <w:shd w:val="clear" w:color="auto" w:fill="FFFFFF" w:themeFill="background1"/>
            <w:hideMark/>
          </w:tcPr>
          <w:p w14:paraId="63D90DBB" w14:textId="77777777" w:rsidR="000764CC" w:rsidRPr="000764CC" w:rsidRDefault="000764CC" w:rsidP="000764CC">
            <w:pPr>
              <w:spacing w:before="60"/>
              <w:rPr>
                <w:rFonts w:cs="Arial"/>
                <w:szCs w:val="21"/>
              </w:rPr>
            </w:pPr>
            <w:r w:rsidRPr="000764CC">
              <w:rPr>
                <w:rFonts w:cs="Arial"/>
                <w:szCs w:val="21"/>
              </w:rPr>
              <w:t>Coordinates reporting cadence and cross-vendor communication standards.</w:t>
            </w:r>
          </w:p>
        </w:tc>
      </w:tr>
    </w:tbl>
    <w:p w14:paraId="63FBD4C0" w14:textId="77777777" w:rsidR="000764CC" w:rsidRPr="000764CC" w:rsidRDefault="000764CC" w:rsidP="008C7C13">
      <w:pPr>
        <w:spacing w:before="120" w:after="120"/>
        <w:ind w:left="720" w:hanging="360"/>
        <w:rPr>
          <w:rFonts w:cs="Arial"/>
          <w:b/>
          <w:bCs/>
          <w:color w:val="0D0D0D" w:themeColor="text1" w:themeTint="F2"/>
          <w:szCs w:val="21"/>
        </w:rPr>
      </w:pPr>
      <w:r w:rsidRPr="000764CC">
        <w:rPr>
          <w:rFonts w:cs="Arial"/>
          <w:b/>
          <w:bCs/>
          <w:color w:val="0D0D0D" w:themeColor="text1" w:themeTint="F2"/>
          <w:szCs w:val="21"/>
        </w:rPr>
        <w:t>6.</w:t>
      </w:r>
      <w:r w:rsidRPr="000764CC">
        <w:rPr>
          <w:rFonts w:cs="Arial"/>
          <w:b/>
          <w:bCs/>
          <w:color w:val="0D0D0D" w:themeColor="text1" w:themeTint="F2"/>
          <w:szCs w:val="21"/>
        </w:rPr>
        <w:tab/>
        <w:t>Tools, Accelerators, and Integration</w:t>
      </w:r>
    </w:p>
    <w:p w14:paraId="4F1DBE90" w14:textId="77777777" w:rsidR="000764CC" w:rsidRPr="000764CC" w:rsidRDefault="000764CC" w:rsidP="008C7C13">
      <w:pPr>
        <w:spacing w:before="120" w:after="120"/>
        <w:ind w:left="360"/>
        <w:rPr>
          <w:rFonts w:cs="Arial"/>
          <w:color w:val="0D0D0D" w:themeColor="text1" w:themeTint="F2"/>
          <w:szCs w:val="21"/>
        </w:rPr>
      </w:pPr>
      <w:r w:rsidRPr="000764CC">
        <w:rPr>
          <w:rFonts w:cs="Arial"/>
          <w:color w:val="0D0D0D" w:themeColor="text1" w:themeTint="F2"/>
          <w:szCs w:val="21"/>
        </w:rPr>
        <w:lastRenderedPageBreak/>
        <w:t>IBM augments CalSAWS’ existing ecosystem with proven enterprise-grade tools that enhance outreach validation without disruption.</w:t>
      </w:r>
    </w:p>
    <w:p w14:paraId="43247AF8" w14:textId="77777777" w:rsidR="000764CC" w:rsidRPr="000764CC" w:rsidRDefault="000764CC" w:rsidP="008C7C13">
      <w:pPr>
        <w:spacing w:before="120" w:after="120"/>
        <w:ind w:left="360"/>
        <w:jc w:val="center"/>
        <w:rPr>
          <w:rFonts w:cs="Arial"/>
          <w:i/>
          <w:iCs/>
          <w:sz w:val="18"/>
          <w:szCs w:val="18"/>
        </w:rPr>
      </w:pPr>
      <w:bookmarkStart w:id="49" w:name="_Toc212035129"/>
      <w:bookmarkStart w:id="50" w:name="_Toc213069565"/>
      <w:r w:rsidRPr="000764CC">
        <w:rPr>
          <w:rFonts w:cs="Arial"/>
          <w:i/>
          <w:iCs/>
          <w:sz w:val="18"/>
          <w:szCs w:val="18"/>
        </w:rPr>
        <w:t xml:space="preserve">Table </w:t>
      </w:r>
      <w:r w:rsidRPr="000764CC">
        <w:rPr>
          <w:rFonts w:cs="Arial"/>
          <w:i/>
          <w:iCs/>
          <w:sz w:val="18"/>
          <w:szCs w:val="18"/>
        </w:rPr>
        <w:fldChar w:fldCharType="begin"/>
      </w:r>
      <w:r w:rsidRPr="000764CC">
        <w:rPr>
          <w:rFonts w:cs="Arial"/>
          <w:i/>
          <w:iCs/>
          <w:sz w:val="18"/>
          <w:szCs w:val="18"/>
        </w:rPr>
        <w:instrText xml:space="preserve"> STYLEREF 3 \s </w:instrText>
      </w:r>
      <w:r w:rsidRPr="000764CC">
        <w:rPr>
          <w:rFonts w:cs="Arial"/>
          <w:i/>
          <w:iCs/>
          <w:sz w:val="18"/>
          <w:szCs w:val="18"/>
        </w:rPr>
        <w:fldChar w:fldCharType="separate"/>
      </w:r>
      <w:r w:rsidR="00FB29F8">
        <w:rPr>
          <w:rFonts w:cs="Arial"/>
          <w:i/>
          <w:iCs/>
          <w:noProof/>
          <w:sz w:val="18"/>
          <w:szCs w:val="18"/>
        </w:rPr>
        <w:t>4.2.3</w:t>
      </w:r>
      <w:r w:rsidRPr="000764CC">
        <w:rPr>
          <w:rFonts w:cs="Arial"/>
          <w:i/>
          <w:iCs/>
          <w:sz w:val="18"/>
          <w:szCs w:val="18"/>
        </w:rPr>
        <w:fldChar w:fldCharType="end"/>
      </w:r>
      <w:r w:rsidRPr="000764CC">
        <w:rPr>
          <w:rFonts w:cs="Arial"/>
          <w:i/>
          <w:iCs/>
          <w:sz w:val="18"/>
          <w:szCs w:val="18"/>
        </w:rPr>
        <w:t>.</w:t>
      </w:r>
      <w:r w:rsidRPr="000764CC">
        <w:rPr>
          <w:rFonts w:cs="Arial"/>
          <w:i/>
          <w:iCs/>
          <w:sz w:val="18"/>
          <w:szCs w:val="18"/>
        </w:rPr>
        <w:fldChar w:fldCharType="begin"/>
      </w:r>
      <w:r w:rsidRPr="000764CC">
        <w:rPr>
          <w:rFonts w:cs="Arial"/>
          <w:i/>
          <w:iCs/>
          <w:sz w:val="18"/>
          <w:szCs w:val="18"/>
        </w:rPr>
        <w:instrText xml:space="preserve"> SEQ Table \* ARABIC \s 3 </w:instrText>
      </w:r>
      <w:r w:rsidRPr="000764CC">
        <w:rPr>
          <w:rFonts w:cs="Arial"/>
          <w:i/>
          <w:iCs/>
          <w:sz w:val="18"/>
          <w:szCs w:val="18"/>
        </w:rPr>
        <w:fldChar w:fldCharType="separate"/>
      </w:r>
      <w:r w:rsidR="00FB29F8">
        <w:rPr>
          <w:rFonts w:cs="Arial"/>
          <w:i/>
          <w:iCs/>
          <w:noProof/>
          <w:sz w:val="18"/>
          <w:szCs w:val="18"/>
        </w:rPr>
        <w:t>2</w:t>
      </w:r>
      <w:r w:rsidRPr="000764CC">
        <w:rPr>
          <w:rFonts w:cs="Arial"/>
          <w:i/>
          <w:iCs/>
          <w:sz w:val="18"/>
          <w:szCs w:val="18"/>
        </w:rPr>
        <w:fldChar w:fldCharType="end"/>
      </w:r>
      <w:r w:rsidRPr="000764CC">
        <w:rPr>
          <w:rFonts w:cs="Arial"/>
          <w:i/>
          <w:iCs/>
          <w:sz w:val="18"/>
          <w:szCs w:val="18"/>
        </w:rPr>
        <w:t>: Tools, Accelerators, and Integration</w:t>
      </w:r>
      <w:bookmarkEnd w:id="49"/>
      <w:bookmarkEnd w:id="50"/>
    </w:p>
    <w:tbl>
      <w:tblPr>
        <w:tblStyle w:val="TableGrid"/>
        <w:tblW w:w="9345" w:type="dxa"/>
        <w:tblInd w:w="36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02"/>
        <w:gridCol w:w="3924"/>
        <w:gridCol w:w="3319"/>
      </w:tblGrid>
      <w:tr w:rsidR="00A740E3" w:rsidRPr="000764CC" w14:paraId="375F621E" w14:textId="77777777" w:rsidTr="008C7C13">
        <w:trPr>
          <w:cnfStyle w:val="100000000000" w:firstRow="1" w:lastRow="0" w:firstColumn="0" w:lastColumn="0" w:oddVBand="0" w:evenVBand="0" w:oddHBand="0" w:evenHBand="0" w:firstRowFirstColumn="0" w:firstRowLastColumn="0" w:lastRowFirstColumn="0" w:lastRowLastColumn="0"/>
        </w:trPr>
        <w:tc>
          <w:tcPr>
            <w:tcW w:w="0" w:type="auto"/>
            <w:shd w:val="clear" w:color="auto" w:fill="0070C0"/>
            <w:vAlign w:val="center"/>
            <w:hideMark/>
          </w:tcPr>
          <w:p w14:paraId="698E6212"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Tool / Accelerator</w:t>
            </w:r>
          </w:p>
        </w:tc>
        <w:tc>
          <w:tcPr>
            <w:tcW w:w="0" w:type="auto"/>
            <w:shd w:val="clear" w:color="auto" w:fill="0070C0"/>
            <w:vAlign w:val="center"/>
            <w:hideMark/>
          </w:tcPr>
          <w:p w14:paraId="16552E8C"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Function</w:t>
            </w:r>
          </w:p>
        </w:tc>
        <w:tc>
          <w:tcPr>
            <w:tcW w:w="0" w:type="auto"/>
            <w:shd w:val="clear" w:color="auto" w:fill="0070C0"/>
            <w:vAlign w:val="center"/>
            <w:hideMark/>
          </w:tcPr>
          <w:p w14:paraId="5CE77AD0" w14:textId="77777777" w:rsidR="000764CC" w:rsidRPr="000764CC" w:rsidRDefault="000764CC" w:rsidP="000764CC">
            <w:pPr>
              <w:spacing w:before="60"/>
              <w:jc w:val="center"/>
              <w:rPr>
                <w:rFonts w:cs="Arial"/>
                <w:b/>
                <w:color w:val="FFFFFF" w:themeColor="background1"/>
                <w:szCs w:val="18"/>
              </w:rPr>
            </w:pPr>
            <w:r w:rsidRPr="000764CC">
              <w:rPr>
                <w:rFonts w:cs="Arial"/>
                <w:b/>
                <w:color w:val="FFFFFF" w:themeColor="background1"/>
                <w:szCs w:val="18"/>
              </w:rPr>
              <w:t>Benefit to CalSAWS</w:t>
            </w:r>
          </w:p>
        </w:tc>
      </w:tr>
      <w:tr w:rsidR="00A740E3" w:rsidRPr="000764CC" w14:paraId="2D8D688E" w14:textId="77777777" w:rsidTr="008C7C13">
        <w:tc>
          <w:tcPr>
            <w:tcW w:w="0" w:type="auto"/>
            <w:shd w:val="clear" w:color="auto" w:fill="FFFFFF" w:themeFill="background1"/>
            <w:hideMark/>
          </w:tcPr>
          <w:p w14:paraId="6143E998" w14:textId="77777777" w:rsidR="000764CC" w:rsidRPr="000764CC" w:rsidRDefault="000764CC" w:rsidP="000764CC">
            <w:pPr>
              <w:spacing w:before="60"/>
              <w:rPr>
                <w:rFonts w:cs="Arial"/>
                <w:szCs w:val="21"/>
              </w:rPr>
            </w:pPr>
            <w:r w:rsidRPr="000764CC">
              <w:rPr>
                <w:rFonts w:cs="Arial"/>
                <w:szCs w:val="21"/>
              </w:rPr>
              <w:t>IBM Equal Access Toolset</w:t>
            </w:r>
          </w:p>
        </w:tc>
        <w:tc>
          <w:tcPr>
            <w:tcW w:w="0" w:type="auto"/>
            <w:shd w:val="clear" w:color="auto" w:fill="FFFFFF" w:themeFill="background1"/>
            <w:hideMark/>
          </w:tcPr>
          <w:p w14:paraId="05655E1D" w14:textId="77777777" w:rsidR="000764CC" w:rsidRPr="000764CC" w:rsidRDefault="000764CC" w:rsidP="000764CC">
            <w:pPr>
              <w:spacing w:before="60"/>
              <w:rPr>
                <w:rFonts w:cs="Arial"/>
                <w:szCs w:val="21"/>
              </w:rPr>
            </w:pPr>
            <w:r w:rsidRPr="000764CC">
              <w:rPr>
                <w:rFonts w:cs="Arial"/>
                <w:szCs w:val="21"/>
              </w:rPr>
              <w:t>Automated WCAG/Section 508 scanning of web, PDF, and notices.</w:t>
            </w:r>
          </w:p>
        </w:tc>
        <w:tc>
          <w:tcPr>
            <w:tcW w:w="0" w:type="auto"/>
            <w:shd w:val="clear" w:color="auto" w:fill="FFFFFF" w:themeFill="background1"/>
            <w:hideMark/>
          </w:tcPr>
          <w:p w14:paraId="1CD8359C" w14:textId="77777777" w:rsidR="000764CC" w:rsidRPr="000764CC" w:rsidRDefault="000764CC" w:rsidP="000764CC">
            <w:pPr>
              <w:spacing w:before="60"/>
              <w:rPr>
                <w:rFonts w:cs="Arial"/>
                <w:szCs w:val="21"/>
              </w:rPr>
            </w:pPr>
            <w:r w:rsidRPr="000764CC">
              <w:rPr>
                <w:rFonts w:cs="Arial"/>
                <w:szCs w:val="21"/>
              </w:rPr>
              <w:t>Early detection of accessibility gaps.</w:t>
            </w:r>
          </w:p>
        </w:tc>
      </w:tr>
      <w:tr w:rsidR="00A740E3" w:rsidRPr="000764CC" w14:paraId="2A73014B" w14:textId="77777777" w:rsidTr="008C7C13">
        <w:tc>
          <w:tcPr>
            <w:tcW w:w="0" w:type="auto"/>
            <w:shd w:val="clear" w:color="auto" w:fill="FFFFFF" w:themeFill="background1"/>
            <w:hideMark/>
          </w:tcPr>
          <w:p w14:paraId="24F0E2FC" w14:textId="77777777" w:rsidR="000764CC" w:rsidRPr="000764CC" w:rsidRDefault="000764CC" w:rsidP="000764CC">
            <w:pPr>
              <w:spacing w:before="60"/>
              <w:rPr>
                <w:rFonts w:cs="Arial"/>
                <w:szCs w:val="21"/>
              </w:rPr>
            </w:pPr>
            <w:r w:rsidRPr="000764CC">
              <w:rPr>
                <w:rFonts w:cs="Arial"/>
                <w:szCs w:val="21"/>
              </w:rPr>
              <w:t>Linguistic QA Automation Suite</w:t>
            </w:r>
          </w:p>
        </w:tc>
        <w:tc>
          <w:tcPr>
            <w:tcW w:w="0" w:type="auto"/>
            <w:shd w:val="clear" w:color="auto" w:fill="FFFFFF" w:themeFill="background1"/>
            <w:hideMark/>
          </w:tcPr>
          <w:p w14:paraId="48409764" w14:textId="77777777" w:rsidR="000764CC" w:rsidRPr="000764CC" w:rsidRDefault="000764CC" w:rsidP="000764CC">
            <w:pPr>
              <w:spacing w:before="60"/>
              <w:rPr>
                <w:rFonts w:cs="Arial"/>
                <w:szCs w:val="21"/>
              </w:rPr>
            </w:pPr>
            <w:r w:rsidRPr="000764CC">
              <w:rPr>
                <w:rFonts w:cs="Arial"/>
                <w:szCs w:val="21"/>
              </w:rPr>
              <w:t>Translation and layout validation.</w:t>
            </w:r>
          </w:p>
        </w:tc>
        <w:tc>
          <w:tcPr>
            <w:tcW w:w="0" w:type="auto"/>
            <w:shd w:val="clear" w:color="auto" w:fill="FFFFFF" w:themeFill="background1"/>
            <w:hideMark/>
          </w:tcPr>
          <w:p w14:paraId="70FCB9DB" w14:textId="77777777" w:rsidR="000764CC" w:rsidRPr="000764CC" w:rsidRDefault="000764CC" w:rsidP="000764CC">
            <w:pPr>
              <w:spacing w:before="60"/>
              <w:rPr>
                <w:rFonts w:cs="Arial"/>
                <w:szCs w:val="21"/>
              </w:rPr>
            </w:pPr>
            <w:r w:rsidRPr="000764CC">
              <w:rPr>
                <w:rFonts w:cs="Arial"/>
                <w:szCs w:val="21"/>
              </w:rPr>
              <w:t>Prevents truncation and alignment issues.</w:t>
            </w:r>
          </w:p>
        </w:tc>
      </w:tr>
      <w:tr w:rsidR="00A740E3" w:rsidRPr="000764CC" w14:paraId="34907F71" w14:textId="77777777" w:rsidTr="008C7C13">
        <w:tc>
          <w:tcPr>
            <w:tcW w:w="0" w:type="auto"/>
            <w:shd w:val="clear" w:color="auto" w:fill="FFFFFF" w:themeFill="background1"/>
            <w:hideMark/>
          </w:tcPr>
          <w:p w14:paraId="1905621B" w14:textId="77777777" w:rsidR="000764CC" w:rsidRPr="000764CC" w:rsidRDefault="000764CC" w:rsidP="000764CC">
            <w:pPr>
              <w:spacing w:before="60"/>
              <w:rPr>
                <w:rFonts w:cs="Arial"/>
                <w:szCs w:val="21"/>
              </w:rPr>
            </w:pPr>
            <w:r w:rsidRPr="000764CC">
              <w:rPr>
                <w:rFonts w:cs="Arial"/>
                <w:szCs w:val="21"/>
              </w:rPr>
              <w:t>Quality Index Dashboard</w:t>
            </w:r>
          </w:p>
        </w:tc>
        <w:tc>
          <w:tcPr>
            <w:tcW w:w="0" w:type="auto"/>
            <w:shd w:val="clear" w:color="auto" w:fill="FFFFFF" w:themeFill="background1"/>
            <w:hideMark/>
          </w:tcPr>
          <w:p w14:paraId="7E9160B3" w14:textId="77777777" w:rsidR="000764CC" w:rsidRPr="000764CC" w:rsidRDefault="000764CC" w:rsidP="000764CC">
            <w:pPr>
              <w:spacing w:before="60"/>
              <w:rPr>
                <w:rFonts w:cs="Arial"/>
                <w:szCs w:val="21"/>
              </w:rPr>
            </w:pPr>
            <w:r w:rsidRPr="000764CC">
              <w:rPr>
                <w:rFonts w:cs="Arial"/>
                <w:szCs w:val="21"/>
              </w:rPr>
              <w:t>Consolidates accessibility, readability, and satisfaction metrics.</w:t>
            </w:r>
          </w:p>
        </w:tc>
        <w:tc>
          <w:tcPr>
            <w:tcW w:w="0" w:type="auto"/>
            <w:shd w:val="clear" w:color="auto" w:fill="FFFFFF" w:themeFill="background1"/>
            <w:hideMark/>
          </w:tcPr>
          <w:p w14:paraId="2A37AA64" w14:textId="77777777" w:rsidR="000764CC" w:rsidRPr="000764CC" w:rsidRDefault="000764CC" w:rsidP="000764CC">
            <w:pPr>
              <w:spacing w:before="60"/>
              <w:rPr>
                <w:rFonts w:cs="Arial"/>
                <w:szCs w:val="21"/>
              </w:rPr>
            </w:pPr>
            <w:r w:rsidRPr="000764CC">
              <w:rPr>
                <w:rFonts w:cs="Arial"/>
                <w:szCs w:val="21"/>
              </w:rPr>
              <w:t>Unified visibility for Consortium leadership.</w:t>
            </w:r>
          </w:p>
        </w:tc>
      </w:tr>
      <w:tr w:rsidR="00A740E3" w:rsidRPr="000764CC" w14:paraId="4F243709" w14:textId="77777777" w:rsidTr="008C7C13">
        <w:tc>
          <w:tcPr>
            <w:tcW w:w="0" w:type="auto"/>
            <w:shd w:val="clear" w:color="auto" w:fill="FFFFFF" w:themeFill="background1"/>
            <w:hideMark/>
          </w:tcPr>
          <w:p w14:paraId="2675E5F9" w14:textId="77777777" w:rsidR="000764CC" w:rsidRPr="000764CC" w:rsidRDefault="000764CC" w:rsidP="000764CC">
            <w:pPr>
              <w:spacing w:before="60"/>
              <w:rPr>
                <w:rFonts w:cs="Arial"/>
                <w:szCs w:val="21"/>
              </w:rPr>
            </w:pPr>
            <w:r w:rsidRPr="000764CC">
              <w:rPr>
                <w:rFonts w:cs="Arial"/>
                <w:szCs w:val="21"/>
              </w:rPr>
              <w:t>Customer Journey Simulator</w:t>
            </w:r>
          </w:p>
        </w:tc>
        <w:tc>
          <w:tcPr>
            <w:tcW w:w="0" w:type="auto"/>
            <w:shd w:val="clear" w:color="auto" w:fill="FFFFFF" w:themeFill="background1"/>
            <w:hideMark/>
          </w:tcPr>
          <w:p w14:paraId="140445B8" w14:textId="77777777" w:rsidR="000764CC" w:rsidRPr="000764CC" w:rsidRDefault="000764CC" w:rsidP="000764CC">
            <w:pPr>
              <w:spacing w:before="60"/>
              <w:rPr>
                <w:rFonts w:cs="Arial"/>
                <w:szCs w:val="21"/>
              </w:rPr>
            </w:pPr>
            <w:r w:rsidRPr="000764CC">
              <w:rPr>
                <w:rFonts w:cs="Arial"/>
                <w:szCs w:val="21"/>
              </w:rPr>
              <w:t>Models end-to-end interactions across CalSAWS and BenefitsCal.</w:t>
            </w:r>
          </w:p>
        </w:tc>
        <w:tc>
          <w:tcPr>
            <w:tcW w:w="0" w:type="auto"/>
            <w:shd w:val="clear" w:color="auto" w:fill="FFFFFF" w:themeFill="background1"/>
            <w:hideMark/>
          </w:tcPr>
          <w:p w14:paraId="02F36988" w14:textId="77777777" w:rsidR="000764CC" w:rsidRPr="000764CC" w:rsidRDefault="000764CC" w:rsidP="000764CC">
            <w:pPr>
              <w:spacing w:before="60"/>
              <w:rPr>
                <w:rFonts w:cs="Arial"/>
                <w:szCs w:val="21"/>
              </w:rPr>
            </w:pPr>
            <w:r w:rsidRPr="000764CC">
              <w:rPr>
                <w:rFonts w:cs="Arial"/>
                <w:szCs w:val="21"/>
              </w:rPr>
              <w:t>Detects communication inconsistencies.</w:t>
            </w:r>
          </w:p>
        </w:tc>
      </w:tr>
      <w:tr w:rsidR="00A740E3" w:rsidRPr="000764CC" w14:paraId="700282B1" w14:textId="77777777" w:rsidTr="008C7C13">
        <w:tc>
          <w:tcPr>
            <w:tcW w:w="0" w:type="auto"/>
            <w:shd w:val="clear" w:color="auto" w:fill="FFFFFF" w:themeFill="background1"/>
            <w:hideMark/>
          </w:tcPr>
          <w:p w14:paraId="3B6029B1" w14:textId="77777777" w:rsidR="000764CC" w:rsidRPr="000764CC" w:rsidRDefault="000764CC" w:rsidP="000764CC">
            <w:pPr>
              <w:spacing w:before="60"/>
              <w:rPr>
                <w:rFonts w:cs="Arial"/>
                <w:szCs w:val="21"/>
              </w:rPr>
            </w:pPr>
            <w:r w:rsidRPr="000764CC">
              <w:rPr>
                <w:rFonts w:cs="Arial"/>
                <w:szCs w:val="21"/>
              </w:rPr>
              <w:t>Readability Analyzer (AI)</w:t>
            </w:r>
          </w:p>
        </w:tc>
        <w:tc>
          <w:tcPr>
            <w:tcW w:w="0" w:type="auto"/>
            <w:shd w:val="clear" w:color="auto" w:fill="FFFFFF" w:themeFill="background1"/>
            <w:hideMark/>
          </w:tcPr>
          <w:p w14:paraId="732C3879" w14:textId="79B6FC52" w:rsidR="000764CC" w:rsidRPr="000764CC" w:rsidRDefault="000764CC" w:rsidP="000764CC">
            <w:pPr>
              <w:spacing w:before="60"/>
              <w:rPr>
                <w:rFonts w:cs="Arial"/>
                <w:szCs w:val="21"/>
              </w:rPr>
            </w:pPr>
            <w:r w:rsidRPr="000764CC">
              <w:rPr>
                <w:rFonts w:cs="Arial"/>
                <w:szCs w:val="21"/>
              </w:rPr>
              <w:t xml:space="preserve">Grades </w:t>
            </w:r>
            <w:r w:rsidR="008A4DE6">
              <w:rPr>
                <w:rFonts w:cs="Arial"/>
                <w:szCs w:val="21"/>
              </w:rPr>
              <w:t>N</w:t>
            </w:r>
            <w:r w:rsidRPr="000764CC">
              <w:rPr>
                <w:rFonts w:cs="Arial"/>
                <w:szCs w:val="21"/>
              </w:rPr>
              <w:t xml:space="preserve">otices </w:t>
            </w:r>
            <w:r w:rsidR="008A4DE6">
              <w:rPr>
                <w:rFonts w:cs="Arial"/>
                <w:szCs w:val="21"/>
              </w:rPr>
              <w:t>of Action</w:t>
            </w:r>
            <w:r w:rsidRPr="000764CC">
              <w:rPr>
                <w:rFonts w:cs="Arial"/>
                <w:szCs w:val="21"/>
              </w:rPr>
              <w:t xml:space="preserve"> for tone and clarity.</w:t>
            </w:r>
          </w:p>
        </w:tc>
        <w:tc>
          <w:tcPr>
            <w:tcW w:w="0" w:type="auto"/>
            <w:shd w:val="clear" w:color="auto" w:fill="FFFFFF" w:themeFill="background1"/>
            <w:hideMark/>
          </w:tcPr>
          <w:p w14:paraId="027F7D9C" w14:textId="77777777" w:rsidR="000764CC" w:rsidRPr="000764CC" w:rsidRDefault="000764CC" w:rsidP="000764CC">
            <w:pPr>
              <w:spacing w:before="60"/>
              <w:rPr>
                <w:rFonts w:cs="Arial"/>
                <w:szCs w:val="21"/>
              </w:rPr>
            </w:pPr>
            <w:r w:rsidRPr="000764CC">
              <w:rPr>
                <w:rFonts w:cs="Arial"/>
                <w:szCs w:val="21"/>
              </w:rPr>
              <w:t>Promotes plain-language, citizen-friendly messaging.</w:t>
            </w:r>
          </w:p>
        </w:tc>
      </w:tr>
    </w:tbl>
    <w:p w14:paraId="2B5CA2E9" w14:textId="77777777" w:rsidR="000764CC" w:rsidRPr="000764CC" w:rsidRDefault="000764CC" w:rsidP="008C7C13">
      <w:pPr>
        <w:spacing w:before="120" w:after="120"/>
        <w:ind w:left="360"/>
        <w:rPr>
          <w:rFonts w:cstheme="minorHAnsi"/>
          <w:color w:val="auto"/>
        </w:rPr>
      </w:pPr>
      <w:r w:rsidRPr="000764CC">
        <w:rPr>
          <w:rFonts w:cstheme="minorHAnsi"/>
          <w:color w:val="auto"/>
        </w:rPr>
        <w:t>All tools integrate into JIRA/JTM and QA deliverables (D-QA-03, D-QA-04, D-QA-06), ensuring traceability from test cases to customer experience metrics.</w:t>
      </w:r>
    </w:p>
    <w:p w14:paraId="1BE290B3"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7.</w:t>
      </w:r>
      <w:r w:rsidRPr="000764CC">
        <w:rPr>
          <w:rFonts w:cs="Arial"/>
          <w:b/>
          <w:bCs/>
          <w:color w:val="0D0D0D" w:themeColor="text1" w:themeTint="F2"/>
          <w:szCs w:val="21"/>
        </w:rPr>
        <w:tab/>
        <w:t>Proof Points and Demonstrated Success</w:t>
      </w:r>
    </w:p>
    <w:p w14:paraId="5DD5E483" w14:textId="77777777" w:rsidR="000764CC" w:rsidRPr="000764CC" w:rsidRDefault="000764CC" w:rsidP="000764CC">
      <w:pPr>
        <w:numPr>
          <w:ilvl w:val="0"/>
          <w:numId w:val="11"/>
        </w:numPr>
        <w:spacing w:before="60"/>
        <w:ind w:left="357" w:hanging="357"/>
        <w:rPr>
          <w:rFonts w:cs="Arial"/>
          <w:szCs w:val="21"/>
        </w:rPr>
      </w:pPr>
      <w:r w:rsidRPr="000764CC">
        <w:rPr>
          <w:rFonts w:cs="Arial"/>
          <w:szCs w:val="21"/>
        </w:rPr>
        <w:t>IBM’s approach to communication QA has been proven across state and federal programs:</w:t>
      </w:r>
    </w:p>
    <w:p w14:paraId="71AC6C59"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California MMIS – Communication QA:</w:t>
      </w:r>
      <w:r w:rsidRPr="000764CC">
        <w:rPr>
          <w:rFonts w:cs="Arial"/>
          <w:szCs w:val="21"/>
        </w:rPr>
        <w:t xml:space="preserve"> Automated notice validation achieved 98% template accuracy; returned mail reduced 30%.</w:t>
      </w:r>
    </w:p>
    <w:p w14:paraId="7EC58EB6"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Florida ACCESS Program – Multilingual Testing:</w:t>
      </w:r>
      <w:r w:rsidRPr="000764CC">
        <w:rPr>
          <w:rFonts w:cs="Arial"/>
          <w:szCs w:val="21"/>
        </w:rPr>
        <w:t xml:space="preserve"> Validated 250+ notice templates; satisfaction improved 15%, call volume reduced 20%.</w:t>
      </w:r>
    </w:p>
    <w:p w14:paraId="7C00CA09"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Arizona DES – Accessibility and UX QA:</w:t>
      </w:r>
      <w:r w:rsidRPr="000764CC">
        <w:rPr>
          <w:rFonts w:cs="Arial"/>
          <w:szCs w:val="21"/>
        </w:rPr>
        <w:t xml:space="preserve"> Improved compliance from 80% to 100%; ADA complaints reduced 40%.</w:t>
      </w:r>
    </w:p>
    <w:p w14:paraId="4553A717"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New York Health Benefit Exchange – Inclusive Design QA:</w:t>
      </w:r>
      <w:r w:rsidRPr="000764CC">
        <w:rPr>
          <w:rFonts w:cs="Arial"/>
          <w:szCs w:val="21"/>
        </w:rPr>
        <w:t xml:space="preserve"> Validated multilingual, mobile-friendly communications; achieved 97% application completion during ACA enrollment.</w:t>
      </w:r>
    </w:p>
    <w:p w14:paraId="353E05E2" w14:textId="77777777" w:rsidR="000764CC" w:rsidRPr="000764CC" w:rsidRDefault="000764CC" w:rsidP="000764CC">
      <w:pPr>
        <w:spacing w:before="120" w:after="120"/>
        <w:ind w:left="360" w:hanging="360"/>
        <w:rPr>
          <w:rFonts w:cs="Arial"/>
          <w:b/>
          <w:bCs/>
          <w:color w:val="0D0D0D" w:themeColor="text1" w:themeTint="F2"/>
          <w:szCs w:val="21"/>
        </w:rPr>
      </w:pPr>
      <w:r w:rsidRPr="000764CC">
        <w:rPr>
          <w:rFonts w:cs="Arial"/>
          <w:b/>
          <w:bCs/>
          <w:color w:val="0D0D0D" w:themeColor="text1" w:themeTint="F2"/>
          <w:szCs w:val="21"/>
        </w:rPr>
        <w:t>8.</w:t>
      </w:r>
      <w:r w:rsidRPr="000764CC">
        <w:rPr>
          <w:rFonts w:cs="Arial"/>
          <w:b/>
          <w:bCs/>
          <w:color w:val="0D0D0D" w:themeColor="text1" w:themeTint="F2"/>
          <w:szCs w:val="21"/>
        </w:rPr>
        <w:tab/>
        <w:t>Metrics and Success Indicators</w:t>
      </w:r>
    </w:p>
    <w:p w14:paraId="2774717D" w14:textId="77777777" w:rsidR="000764CC" w:rsidRPr="000764CC" w:rsidRDefault="000764CC" w:rsidP="008C7C13">
      <w:pPr>
        <w:spacing w:before="120" w:after="120"/>
        <w:ind w:left="360"/>
        <w:jc w:val="center"/>
        <w:rPr>
          <w:rFonts w:cs="Arial"/>
          <w:i/>
          <w:iCs/>
          <w:sz w:val="18"/>
          <w:szCs w:val="18"/>
        </w:rPr>
      </w:pPr>
      <w:bookmarkStart w:id="51" w:name="_Toc212035130"/>
      <w:bookmarkStart w:id="52" w:name="_Toc213069566"/>
      <w:r w:rsidRPr="000764CC">
        <w:rPr>
          <w:rFonts w:cs="Arial"/>
          <w:i/>
          <w:iCs/>
          <w:sz w:val="18"/>
          <w:szCs w:val="18"/>
        </w:rPr>
        <w:t xml:space="preserve">Table </w:t>
      </w:r>
      <w:r w:rsidRPr="000764CC">
        <w:rPr>
          <w:rFonts w:cs="Arial"/>
          <w:i/>
          <w:iCs/>
          <w:sz w:val="18"/>
          <w:szCs w:val="18"/>
        </w:rPr>
        <w:fldChar w:fldCharType="begin"/>
      </w:r>
      <w:r w:rsidRPr="000764CC">
        <w:rPr>
          <w:rFonts w:cs="Arial"/>
          <w:i/>
          <w:iCs/>
          <w:sz w:val="18"/>
          <w:szCs w:val="18"/>
        </w:rPr>
        <w:instrText xml:space="preserve"> STYLEREF 3 \s </w:instrText>
      </w:r>
      <w:r w:rsidRPr="000764CC">
        <w:rPr>
          <w:rFonts w:cs="Arial"/>
          <w:i/>
          <w:iCs/>
          <w:sz w:val="18"/>
          <w:szCs w:val="18"/>
        </w:rPr>
        <w:fldChar w:fldCharType="separate"/>
      </w:r>
      <w:r w:rsidR="00FB29F8">
        <w:rPr>
          <w:rFonts w:cs="Arial"/>
          <w:i/>
          <w:iCs/>
          <w:noProof/>
          <w:sz w:val="18"/>
          <w:szCs w:val="18"/>
        </w:rPr>
        <w:t>4.2.3</w:t>
      </w:r>
      <w:r w:rsidRPr="000764CC">
        <w:rPr>
          <w:rFonts w:cs="Arial"/>
          <w:i/>
          <w:iCs/>
          <w:sz w:val="18"/>
          <w:szCs w:val="18"/>
        </w:rPr>
        <w:fldChar w:fldCharType="end"/>
      </w:r>
      <w:r w:rsidRPr="000764CC">
        <w:rPr>
          <w:rFonts w:cs="Arial"/>
          <w:i/>
          <w:iCs/>
          <w:sz w:val="18"/>
          <w:szCs w:val="18"/>
        </w:rPr>
        <w:t>.</w:t>
      </w:r>
      <w:r w:rsidRPr="000764CC">
        <w:rPr>
          <w:rFonts w:cs="Arial"/>
          <w:i/>
          <w:iCs/>
          <w:sz w:val="18"/>
          <w:szCs w:val="18"/>
        </w:rPr>
        <w:fldChar w:fldCharType="begin"/>
      </w:r>
      <w:r w:rsidRPr="000764CC">
        <w:rPr>
          <w:rFonts w:cs="Arial"/>
          <w:i/>
          <w:iCs/>
          <w:sz w:val="18"/>
          <w:szCs w:val="18"/>
        </w:rPr>
        <w:instrText xml:space="preserve"> SEQ Table \* ARABIC \s 3 </w:instrText>
      </w:r>
      <w:r w:rsidRPr="000764CC">
        <w:rPr>
          <w:rFonts w:cs="Arial"/>
          <w:i/>
          <w:iCs/>
          <w:sz w:val="18"/>
          <w:szCs w:val="18"/>
        </w:rPr>
        <w:fldChar w:fldCharType="separate"/>
      </w:r>
      <w:r w:rsidR="00FB29F8">
        <w:rPr>
          <w:rFonts w:cs="Arial"/>
          <w:i/>
          <w:iCs/>
          <w:noProof/>
          <w:sz w:val="18"/>
          <w:szCs w:val="18"/>
        </w:rPr>
        <w:t>3</w:t>
      </w:r>
      <w:r w:rsidRPr="000764CC">
        <w:rPr>
          <w:rFonts w:cs="Arial"/>
          <w:i/>
          <w:iCs/>
          <w:sz w:val="18"/>
          <w:szCs w:val="18"/>
        </w:rPr>
        <w:fldChar w:fldCharType="end"/>
      </w:r>
      <w:r w:rsidRPr="000764CC">
        <w:rPr>
          <w:rFonts w:cs="Arial"/>
          <w:i/>
          <w:iCs/>
          <w:sz w:val="18"/>
          <w:szCs w:val="18"/>
        </w:rPr>
        <w:t>: Metrics and Success Indicators</w:t>
      </w:r>
      <w:bookmarkEnd w:id="51"/>
      <w:bookmarkEnd w:id="52"/>
    </w:p>
    <w:tbl>
      <w:tblPr>
        <w:tblStyle w:val="TableGrid"/>
        <w:tblW w:w="5000" w:type="pct"/>
        <w:tblInd w:w="36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852"/>
        <w:gridCol w:w="4254"/>
        <w:gridCol w:w="2244"/>
      </w:tblGrid>
      <w:tr w:rsidR="00A43C91" w:rsidRPr="000764CC" w14:paraId="4D89BFF5" w14:textId="77777777" w:rsidTr="008C7C13">
        <w:trPr>
          <w:cnfStyle w:val="100000000000" w:firstRow="1" w:lastRow="0" w:firstColumn="0" w:lastColumn="0" w:oddVBand="0" w:evenVBand="0" w:oddHBand="0" w:evenHBand="0" w:firstRowFirstColumn="0" w:firstRowLastColumn="0" w:lastRowFirstColumn="0" w:lastRowLastColumn="0"/>
        </w:trPr>
        <w:tc>
          <w:tcPr>
            <w:tcW w:w="1525" w:type="pct"/>
            <w:shd w:val="clear" w:color="auto" w:fill="0070C0"/>
            <w:vAlign w:val="center"/>
            <w:hideMark/>
          </w:tcPr>
          <w:p w14:paraId="39329FB4" w14:textId="77777777" w:rsidR="000764CC" w:rsidRPr="000764CC" w:rsidRDefault="000764CC" w:rsidP="00725431">
            <w:pPr>
              <w:spacing w:before="60"/>
              <w:rPr>
                <w:rFonts w:cs="Arial"/>
                <w:b/>
                <w:color w:val="FFFFFF" w:themeColor="background1"/>
                <w:szCs w:val="18"/>
              </w:rPr>
            </w:pPr>
            <w:r w:rsidRPr="000764CC">
              <w:rPr>
                <w:rFonts w:cs="Arial"/>
                <w:b/>
                <w:color w:val="FFFFFF" w:themeColor="background1"/>
                <w:szCs w:val="18"/>
              </w:rPr>
              <w:t>Category</w:t>
            </w:r>
          </w:p>
        </w:tc>
        <w:tc>
          <w:tcPr>
            <w:tcW w:w="2275" w:type="pct"/>
            <w:shd w:val="clear" w:color="auto" w:fill="0070C0"/>
            <w:vAlign w:val="center"/>
            <w:hideMark/>
          </w:tcPr>
          <w:p w14:paraId="66258751" w14:textId="77777777" w:rsidR="000764CC" w:rsidRPr="000764CC" w:rsidRDefault="000764CC" w:rsidP="00725431">
            <w:pPr>
              <w:spacing w:before="60"/>
              <w:rPr>
                <w:rFonts w:cs="Arial"/>
                <w:b/>
                <w:color w:val="FFFFFF" w:themeColor="background1"/>
                <w:szCs w:val="18"/>
              </w:rPr>
            </w:pPr>
            <w:r w:rsidRPr="000764CC">
              <w:rPr>
                <w:rFonts w:cs="Arial"/>
                <w:b/>
                <w:color w:val="FFFFFF" w:themeColor="background1"/>
                <w:szCs w:val="18"/>
              </w:rPr>
              <w:t>Example Metric</w:t>
            </w:r>
          </w:p>
        </w:tc>
        <w:tc>
          <w:tcPr>
            <w:tcW w:w="1200" w:type="pct"/>
            <w:shd w:val="clear" w:color="auto" w:fill="0070C0"/>
            <w:vAlign w:val="center"/>
            <w:hideMark/>
          </w:tcPr>
          <w:p w14:paraId="48C520D7" w14:textId="77777777" w:rsidR="000764CC" w:rsidRPr="000764CC" w:rsidRDefault="000764CC" w:rsidP="00725431">
            <w:pPr>
              <w:spacing w:before="60"/>
              <w:rPr>
                <w:rFonts w:cs="Arial"/>
                <w:b/>
                <w:color w:val="FFFFFF" w:themeColor="background1"/>
                <w:szCs w:val="18"/>
              </w:rPr>
            </w:pPr>
            <w:r w:rsidRPr="000764CC">
              <w:rPr>
                <w:rFonts w:cs="Arial"/>
                <w:b/>
                <w:color w:val="FFFFFF" w:themeColor="background1"/>
                <w:szCs w:val="18"/>
              </w:rPr>
              <w:t>Target / Outcome</w:t>
            </w:r>
          </w:p>
        </w:tc>
      </w:tr>
      <w:tr w:rsidR="00A43C91" w:rsidRPr="000764CC" w14:paraId="13144546" w14:textId="77777777" w:rsidTr="008C7C13">
        <w:tc>
          <w:tcPr>
            <w:tcW w:w="1525" w:type="pct"/>
            <w:shd w:val="clear" w:color="auto" w:fill="FFFFFF" w:themeFill="background1"/>
            <w:vAlign w:val="center"/>
            <w:hideMark/>
          </w:tcPr>
          <w:p w14:paraId="3895EA67" w14:textId="77777777" w:rsidR="000764CC" w:rsidRPr="000764CC" w:rsidRDefault="000764CC" w:rsidP="000764CC">
            <w:pPr>
              <w:spacing w:before="60"/>
              <w:rPr>
                <w:rFonts w:cs="Arial"/>
                <w:szCs w:val="21"/>
              </w:rPr>
            </w:pPr>
            <w:r w:rsidRPr="000764CC">
              <w:rPr>
                <w:rFonts w:cs="Arial"/>
                <w:szCs w:val="21"/>
              </w:rPr>
              <w:t>Accessibility Compliance</w:t>
            </w:r>
          </w:p>
        </w:tc>
        <w:tc>
          <w:tcPr>
            <w:tcW w:w="2275" w:type="pct"/>
            <w:shd w:val="clear" w:color="auto" w:fill="FFFFFF" w:themeFill="background1"/>
            <w:vAlign w:val="center"/>
            <w:hideMark/>
          </w:tcPr>
          <w:p w14:paraId="6A4E476F" w14:textId="77777777" w:rsidR="000764CC" w:rsidRPr="000764CC" w:rsidRDefault="000764CC" w:rsidP="000764CC">
            <w:pPr>
              <w:spacing w:before="60"/>
              <w:rPr>
                <w:rFonts w:cs="Arial"/>
                <w:szCs w:val="21"/>
              </w:rPr>
            </w:pPr>
            <w:r w:rsidRPr="000764CC">
              <w:rPr>
                <w:rFonts w:cs="Arial"/>
                <w:szCs w:val="21"/>
              </w:rPr>
              <w:t>WCAG 2.1 AA pass rate</w:t>
            </w:r>
          </w:p>
        </w:tc>
        <w:tc>
          <w:tcPr>
            <w:tcW w:w="1200" w:type="pct"/>
            <w:shd w:val="clear" w:color="auto" w:fill="FFFFFF" w:themeFill="background1"/>
            <w:vAlign w:val="center"/>
            <w:hideMark/>
          </w:tcPr>
          <w:p w14:paraId="58175B3E" w14:textId="77777777" w:rsidR="000764CC" w:rsidRPr="000764CC" w:rsidRDefault="000764CC" w:rsidP="000764CC">
            <w:pPr>
              <w:spacing w:before="60"/>
              <w:jc w:val="center"/>
              <w:rPr>
                <w:rFonts w:cs="Arial"/>
                <w:szCs w:val="21"/>
              </w:rPr>
            </w:pPr>
            <w:r w:rsidRPr="000764CC">
              <w:rPr>
                <w:rFonts w:cs="Arial"/>
                <w:szCs w:val="21"/>
              </w:rPr>
              <w:t>≥ 100% pre-release</w:t>
            </w:r>
          </w:p>
        </w:tc>
      </w:tr>
      <w:tr w:rsidR="00A43C91" w:rsidRPr="000764CC" w14:paraId="56C5B9D0" w14:textId="77777777" w:rsidTr="008C7C13">
        <w:tc>
          <w:tcPr>
            <w:tcW w:w="1525" w:type="pct"/>
            <w:shd w:val="clear" w:color="auto" w:fill="FFFFFF" w:themeFill="background1"/>
            <w:vAlign w:val="center"/>
            <w:hideMark/>
          </w:tcPr>
          <w:p w14:paraId="0BB2498D" w14:textId="77777777" w:rsidR="000764CC" w:rsidRPr="000764CC" w:rsidRDefault="000764CC" w:rsidP="000764CC">
            <w:pPr>
              <w:spacing w:before="60"/>
              <w:rPr>
                <w:rFonts w:cs="Arial"/>
                <w:szCs w:val="21"/>
              </w:rPr>
            </w:pPr>
            <w:r w:rsidRPr="000764CC">
              <w:rPr>
                <w:rFonts w:cs="Arial"/>
                <w:szCs w:val="21"/>
              </w:rPr>
              <w:t>Translation Accuracy</w:t>
            </w:r>
          </w:p>
        </w:tc>
        <w:tc>
          <w:tcPr>
            <w:tcW w:w="2275" w:type="pct"/>
            <w:shd w:val="clear" w:color="auto" w:fill="FFFFFF" w:themeFill="background1"/>
            <w:vAlign w:val="center"/>
            <w:hideMark/>
          </w:tcPr>
          <w:p w14:paraId="51BC65C3" w14:textId="77777777" w:rsidR="000764CC" w:rsidRPr="000764CC" w:rsidRDefault="000764CC" w:rsidP="000764CC">
            <w:pPr>
              <w:spacing w:before="60"/>
              <w:rPr>
                <w:rFonts w:cs="Arial"/>
                <w:szCs w:val="21"/>
              </w:rPr>
            </w:pPr>
            <w:r w:rsidRPr="000764CC">
              <w:rPr>
                <w:rFonts w:cs="Arial"/>
                <w:szCs w:val="21"/>
              </w:rPr>
              <w:t>Linguistic defects per 1,000 words</w:t>
            </w:r>
          </w:p>
        </w:tc>
        <w:tc>
          <w:tcPr>
            <w:tcW w:w="1200" w:type="pct"/>
            <w:shd w:val="clear" w:color="auto" w:fill="FFFFFF" w:themeFill="background1"/>
            <w:vAlign w:val="center"/>
            <w:hideMark/>
          </w:tcPr>
          <w:p w14:paraId="4398C4E1" w14:textId="77777777" w:rsidR="000764CC" w:rsidRPr="000764CC" w:rsidRDefault="000764CC" w:rsidP="000764CC">
            <w:pPr>
              <w:spacing w:before="60"/>
              <w:jc w:val="center"/>
              <w:rPr>
                <w:rFonts w:cs="Arial"/>
                <w:szCs w:val="21"/>
              </w:rPr>
            </w:pPr>
            <w:r w:rsidRPr="000764CC">
              <w:rPr>
                <w:rFonts w:cs="Arial"/>
                <w:szCs w:val="21"/>
              </w:rPr>
              <w:t>≤ 5</w:t>
            </w:r>
          </w:p>
        </w:tc>
      </w:tr>
      <w:tr w:rsidR="00A43C91" w:rsidRPr="000764CC" w14:paraId="56251398" w14:textId="77777777" w:rsidTr="008C7C13">
        <w:tc>
          <w:tcPr>
            <w:tcW w:w="1525" w:type="pct"/>
            <w:shd w:val="clear" w:color="auto" w:fill="FFFFFF" w:themeFill="background1"/>
            <w:vAlign w:val="center"/>
            <w:hideMark/>
          </w:tcPr>
          <w:p w14:paraId="7A7644BD" w14:textId="77777777" w:rsidR="000764CC" w:rsidRPr="000764CC" w:rsidRDefault="000764CC" w:rsidP="000764CC">
            <w:pPr>
              <w:spacing w:before="60"/>
              <w:rPr>
                <w:rFonts w:cs="Arial"/>
                <w:szCs w:val="21"/>
              </w:rPr>
            </w:pPr>
            <w:r w:rsidRPr="000764CC">
              <w:rPr>
                <w:rFonts w:cs="Arial"/>
                <w:szCs w:val="21"/>
              </w:rPr>
              <w:t>Readability</w:t>
            </w:r>
          </w:p>
        </w:tc>
        <w:tc>
          <w:tcPr>
            <w:tcW w:w="2275" w:type="pct"/>
            <w:shd w:val="clear" w:color="auto" w:fill="FFFFFF" w:themeFill="background1"/>
            <w:vAlign w:val="center"/>
            <w:hideMark/>
          </w:tcPr>
          <w:p w14:paraId="2638013F" w14:textId="77777777" w:rsidR="000764CC" w:rsidRPr="000764CC" w:rsidRDefault="000764CC" w:rsidP="000764CC">
            <w:pPr>
              <w:spacing w:before="60"/>
              <w:rPr>
                <w:rFonts w:cs="Arial"/>
                <w:szCs w:val="21"/>
              </w:rPr>
            </w:pPr>
            <w:r w:rsidRPr="000764CC">
              <w:rPr>
                <w:rFonts w:cs="Arial"/>
                <w:szCs w:val="21"/>
              </w:rPr>
              <w:t>Average grade level</w:t>
            </w:r>
          </w:p>
        </w:tc>
        <w:tc>
          <w:tcPr>
            <w:tcW w:w="1200" w:type="pct"/>
            <w:shd w:val="clear" w:color="auto" w:fill="FFFFFF" w:themeFill="background1"/>
            <w:vAlign w:val="center"/>
            <w:hideMark/>
          </w:tcPr>
          <w:p w14:paraId="4D9487A8" w14:textId="77777777" w:rsidR="000764CC" w:rsidRPr="000764CC" w:rsidRDefault="000764CC" w:rsidP="000764CC">
            <w:pPr>
              <w:spacing w:before="60"/>
              <w:jc w:val="center"/>
              <w:rPr>
                <w:rFonts w:cs="Arial"/>
                <w:szCs w:val="21"/>
              </w:rPr>
            </w:pPr>
            <w:r w:rsidRPr="000764CC">
              <w:rPr>
                <w:rFonts w:cs="Arial"/>
                <w:szCs w:val="21"/>
              </w:rPr>
              <w:t>≤ 8th grade</w:t>
            </w:r>
          </w:p>
        </w:tc>
      </w:tr>
      <w:tr w:rsidR="00A43C91" w:rsidRPr="000764CC" w14:paraId="0A9BF852" w14:textId="77777777" w:rsidTr="008C7C13">
        <w:tc>
          <w:tcPr>
            <w:tcW w:w="1525" w:type="pct"/>
            <w:shd w:val="clear" w:color="auto" w:fill="FFFFFF" w:themeFill="background1"/>
            <w:vAlign w:val="center"/>
            <w:hideMark/>
          </w:tcPr>
          <w:p w14:paraId="676D86B5" w14:textId="77777777" w:rsidR="000764CC" w:rsidRPr="000764CC" w:rsidRDefault="000764CC" w:rsidP="000764CC">
            <w:pPr>
              <w:spacing w:before="60"/>
              <w:rPr>
                <w:rFonts w:cs="Arial"/>
                <w:szCs w:val="21"/>
              </w:rPr>
            </w:pPr>
            <w:r w:rsidRPr="000764CC">
              <w:rPr>
                <w:rFonts w:cs="Arial"/>
                <w:szCs w:val="21"/>
              </w:rPr>
              <w:t>Customer Satisfaction</w:t>
            </w:r>
          </w:p>
        </w:tc>
        <w:tc>
          <w:tcPr>
            <w:tcW w:w="2275" w:type="pct"/>
            <w:shd w:val="clear" w:color="auto" w:fill="FFFFFF" w:themeFill="background1"/>
            <w:vAlign w:val="center"/>
            <w:hideMark/>
          </w:tcPr>
          <w:p w14:paraId="6FD5BB72" w14:textId="77777777" w:rsidR="000764CC" w:rsidRPr="000764CC" w:rsidRDefault="000764CC" w:rsidP="000764CC">
            <w:pPr>
              <w:spacing w:before="60"/>
              <w:rPr>
                <w:rFonts w:cs="Arial"/>
                <w:szCs w:val="21"/>
              </w:rPr>
            </w:pPr>
            <w:r w:rsidRPr="000764CC">
              <w:rPr>
                <w:rFonts w:cs="Arial"/>
                <w:szCs w:val="21"/>
              </w:rPr>
              <w:t>Post-release survey improvement</w:t>
            </w:r>
          </w:p>
        </w:tc>
        <w:tc>
          <w:tcPr>
            <w:tcW w:w="1200" w:type="pct"/>
            <w:shd w:val="clear" w:color="auto" w:fill="FFFFFF" w:themeFill="background1"/>
            <w:vAlign w:val="center"/>
            <w:hideMark/>
          </w:tcPr>
          <w:p w14:paraId="7585019E" w14:textId="77777777" w:rsidR="000764CC" w:rsidRPr="000764CC" w:rsidRDefault="000764CC" w:rsidP="000764CC">
            <w:pPr>
              <w:spacing w:before="60"/>
              <w:jc w:val="center"/>
              <w:rPr>
                <w:rFonts w:cs="Arial"/>
                <w:szCs w:val="21"/>
              </w:rPr>
            </w:pPr>
            <w:r w:rsidRPr="000764CC">
              <w:rPr>
                <w:rFonts w:cs="Arial"/>
                <w:szCs w:val="21"/>
              </w:rPr>
              <w:t>+15–20%</w:t>
            </w:r>
          </w:p>
        </w:tc>
      </w:tr>
      <w:tr w:rsidR="00A43C91" w:rsidRPr="000764CC" w14:paraId="543BF697" w14:textId="77777777" w:rsidTr="008C7C13">
        <w:tc>
          <w:tcPr>
            <w:tcW w:w="1525" w:type="pct"/>
            <w:shd w:val="clear" w:color="auto" w:fill="FFFFFF" w:themeFill="background1"/>
            <w:vAlign w:val="center"/>
            <w:hideMark/>
          </w:tcPr>
          <w:p w14:paraId="1C922740" w14:textId="77777777" w:rsidR="000764CC" w:rsidRPr="000764CC" w:rsidRDefault="000764CC" w:rsidP="000764CC">
            <w:pPr>
              <w:spacing w:before="60"/>
              <w:rPr>
                <w:rFonts w:cs="Arial"/>
                <w:szCs w:val="21"/>
              </w:rPr>
            </w:pPr>
            <w:r w:rsidRPr="000764CC">
              <w:rPr>
                <w:rFonts w:cs="Arial"/>
                <w:szCs w:val="21"/>
              </w:rPr>
              <w:t>Complaint Reduction</w:t>
            </w:r>
          </w:p>
        </w:tc>
        <w:tc>
          <w:tcPr>
            <w:tcW w:w="2275" w:type="pct"/>
            <w:shd w:val="clear" w:color="auto" w:fill="FFFFFF" w:themeFill="background1"/>
            <w:vAlign w:val="center"/>
            <w:hideMark/>
          </w:tcPr>
          <w:p w14:paraId="2DF88457" w14:textId="77777777" w:rsidR="000764CC" w:rsidRPr="000764CC" w:rsidRDefault="000764CC" w:rsidP="000764CC">
            <w:pPr>
              <w:spacing w:before="60"/>
              <w:rPr>
                <w:rFonts w:cs="Arial"/>
                <w:szCs w:val="21"/>
              </w:rPr>
            </w:pPr>
            <w:r w:rsidRPr="000764CC">
              <w:rPr>
                <w:rFonts w:cs="Arial"/>
                <w:szCs w:val="21"/>
              </w:rPr>
              <w:t>ADA / communication complaints</w:t>
            </w:r>
          </w:p>
        </w:tc>
        <w:tc>
          <w:tcPr>
            <w:tcW w:w="1200" w:type="pct"/>
            <w:shd w:val="clear" w:color="auto" w:fill="FFFFFF" w:themeFill="background1"/>
            <w:vAlign w:val="center"/>
            <w:hideMark/>
          </w:tcPr>
          <w:p w14:paraId="31F9B906" w14:textId="77777777" w:rsidR="000764CC" w:rsidRPr="000764CC" w:rsidRDefault="000764CC" w:rsidP="000764CC">
            <w:pPr>
              <w:spacing w:before="60"/>
              <w:jc w:val="center"/>
              <w:rPr>
                <w:rFonts w:cs="Arial"/>
                <w:szCs w:val="21"/>
              </w:rPr>
            </w:pPr>
            <w:r w:rsidRPr="000764CC">
              <w:rPr>
                <w:rFonts w:cs="Arial"/>
                <w:szCs w:val="21"/>
              </w:rPr>
              <w:t>–40% YoY</w:t>
            </w:r>
          </w:p>
        </w:tc>
      </w:tr>
      <w:tr w:rsidR="00A43C91" w:rsidRPr="000764CC" w14:paraId="2B2E0588" w14:textId="77777777" w:rsidTr="008C7C13">
        <w:tc>
          <w:tcPr>
            <w:tcW w:w="1525" w:type="pct"/>
            <w:shd w:val="clear" w:color="auto" w:fill="FFFFFF" w:themeFill="background1"/>
            <w:vAlign w:val="center"/>
            <w:hideMark/>
          </w:tcPr>
          <w:p w14:paraId="1B6FEFC6" w14:textId="77777777" w:rsidR="000764CC" w:rsidRPr="000764CC" w:rsidRDefault="000764CC" w:rsidP="000764CC">
            <w:pPr>
              <w:spacing w:before="60"/>
              <w:rPr>
                <w:rFonts w:cs="Arial"/>
                <w:szCs w:val="21"/>
              </w:rPr>
            </w:pPr>
            <w:r w:rsidRPr="000764CC">
              <w:rPr>
                <w:rFonts w:cs="Arial"/>
                <w:szCs w:val="21"/>
              </w:rPr>
              <w:t>Cross-System Consistency</w:t>
            </w:r>
          </w:p>
        </w:tc>
        <w:tc>
          <w:tcPr>
            <w:tcW w:w="2275" w:type="pct"/>
            <w:shd w:val="clear" w:color="auto" w:fill="FFFFFF" w:themeFill="background1"/>
            <w:vAlign w:val="center"/>
            <w:hideMark/>
          </w:tcPr>
          <w:p w14:paraId="304E4E81" w14:textId="77777777" w:rsidR="000764CC" w:rsidRPr="000764CC" w:rsidRDefault="000764CC" w:rsidP="000764CC">
            <w:pPr>
              <w:spacing w:before="60"/>
              <w:rPr>
                <w:rFonts w:cs="Arial"/>
                <w:szCs w:val="21"/>
              </w:rPr>
            </w:pPr>
            <w:r w:rsidRPr="000764CC">
              <w:rPr>
                <w:rFonts w:cs="Arial"/>
                <w:szCs w:val="21"/>
              </w:rPr>
              <w:t>Data variance (CalSAWS vs BenefitsCal)</w:t>
            </w:r>
          </w:p>
        </w:tc>
        <w:tc>
          <w:tcPr>
            <w:tcW w:w="1200" w:type="pct"/>
            <w:shd w:val="clear" w:color="auto" w:fill="FFFFFF" w:themeFill="background1"/>
            <w:vAlign w:val="center"/>
            <w:hideMark/>
          </w:tcPr>
          <w:p w14:paraId="472680F5" w14:textId="77777777" w:rsidR="000764CC" w:rsidRPr="000764CC" w:rsidRDefault="000764CC" w:rsidP="000764CC">
            <w:pPr>
              <w:spacing w:before="60"/>
              <w:jc w:val="center"/>
              <w:rPr>
                <w:rFonts w:cs="Arial"/>
                <w:szCs w:val="21"/>
              </w:rPr>
            </w:pPr>
            <w:r w:rsidRPr="000764CC">
              <w:rPr>
                <w:rFonts w:cs="Arial"/>
                <w:szCs w:val="21"/>
              </w:rPr>
              <w:t>≤ 1%</w:t>
            </w:r>
          </w:p>
        </w:tc>
      </w:tr>
    </w:tbl>
    <w:p w14:paraId="1F96F3AC" w14:textId="77777777" w:rsidR="000764CC" w:rsidRPr="000764CC" w:rsidRDefault="000764CC" w:rsidP="000764CC">
      <w:pPr>
        <w:spacing w:before="240" w:after="120"/>
        <w:ind w:left="360" w:hanging="360"/>
        <w:rPr>
          <w:rFonts w:cstheme="minorHAnsi"/>
          <w:b/>
          <w:bCs/>
          <w:color w:val="auto"/>
        </w:rPr>
      </w:pPr>
      <w:r w:rsidRPr="000764CC">
        <w:rPr>
          <w:rFonts w:cstheme="minorHAnsi"/>
          <w:b/>
          <w:bCs/>
          <w:color w:val="auto"/>
        </w:rPr>
        <w:lastRenderedPageBreak/>
        <w:t>9.</w:t>
      </w:r>
      <w:r w:rsidRPr="000764CC">
        <w:rPr>
          <w:rFonts w:cstheme="minorHAnsi"/>
          <w:b/>
          <w:bCs/>
          <w:color w:val="auto"/>
        </w:rPr>
        <w:tab/>
        <w:t>Continuous Improvement and Governance Integration</w:t>
      </w:r>
    </w:p>
    <w:p w14:paraId="7D0EC8F9" w14:textId="77777777" w:rsidR="000764CC" w:rsidRPr="000764CC" w:rsidRDefault="000764CC" w:rsidP="000764CC">
      <w:pPr>
        <w:numPr>
          <w:ilvl w:val="0"/>
          <w:numId w:val="11"/>
        </w:numPr>
        <w:spacing w:before="60"/>
        <w:ind w:left="357" w:hanging="357"/>
        <w:rPr>
          <w:rFonts w:cs="Arial"/>
          <w:szCs w:val="21"/>
        </w:rPr>
      </w:pPr>
      <w:r w:rsidRPr="000764CC">
        <w:rPr>
          <w:rFonts w:cs="Arial"/>
          <w:szCs w:val="21"/>
        </w:rPr>
        <w:t>IBM integrates communication QA metrics into CalSAWS’ multi-vendor governance cadence:</w:t>
      </w:r>
    </w:p>
    <w:p w14:paraId="3B410134"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Shared Dashboards:</w:t>
      </w:r>
      <w:r w:rsidRPr="000764CC">
        <w:rPr>
          <w:rFonts w:cs="Arial"/>
          <w:szCs w:val="21"/>
        </w:rPr>
        <w:t xml:space="preserve"> Accessibility and readability KPIs visible with functional QA metrics.</w:t>
      </w:r>
    </w:p>
    <w:p w14:paraId="47D7EE66"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Monthly Governance Reviews:</w:t>
      </w:r>
      <w:r w:rsidRPr="000764CC">
        <w:rPr>
          <w:rFonts w:cs="Arial"/>
          <w:szCs w:val="21"/>
        </w:rPr>
        <w:t xml:space="preserve"> Joint review of communication quality and improvement plans.</w:t>
      </w:r>
    </w:p>
    <w:p w14:paraId="41E195F9"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Root-Cause Analysis:</w:t>
      </w:r>
      <w:r w:rsidRPr="000764CC">
        <w:rPr>
          <w:rFonts w:cs="Arial"/>
          <w:szCs w:val="21"/>
        </w:rPr>
        <w:t xml:space="preserve"> Each communication issue linked to systemic QA findings (translation, readability, or data).</w:t>
      </w:r>
    </w:p>
    <w:p w14:paraId="06433FE9" w14:textId="77777777" w:rsidR="000764CC" w:rsidRPr="000764CC" w:rsidRDefault="000764CC" w:rsidP="000764CC">
      <w:pPr>
        <w:numPr>
          <w:ilvl w:val="0"/>
          <w:numId w:val="11"/>
        </w:numPr>
        <w:spacing w:before="60"/>
        <w:ind w:left="357" w:hanging="357"/>
        <w:rPr>
          <w:rFonts w:cs="Arial"/>
          <w:szCs w:val="21"/>
        </w:rPr>
      </w:pPr>
      <w:r w:rsidRPr="000764CC">
        <w:rPr>
          <w:rFonts w:cs="Arial"/>
          <w:b/>
          <w:bCs/>
          <w:szCs w:val="21"/>
        </w:rPr>
        <w:t>Training and Knowledge Sharing:</w:t>
      </w:r>
      <w:r w:rsidRPr="000764CC">
        <w:rPr>
          <w:rFonts w:cs="Arial"/>
          <w:szCs w:val="21"/>
        </w:rPr>
        <w:t xml:space="preserve"> IBM conducts Consortium-approved workshops on accessibility and plain-language QA.</w:t>
      </w:r>
    </w:p>
    <w:p w14:paraId="5CF787F0" w14:textId="11AE124B" w:rsidR="000764CC" w:rsidRPr="000764CC" w:rsidRDefault="00A82685" w:rsidP="000764CC">
      <w:pPr>
        <w:numPr>
          <w:ilvl w:val="0"/>
          <w:numId w:val="11"/>
        </w:numPr>
        <w:spacing w:before="60"/>
        <w:ind w:left="357" w:hanging="357"/>
        <w:rPr>
          <w:rFonts w:cs="Arial"/>
          <w:szCs w:val="21"/>
        </w:rPr>
      </w:pPr>
      <w:r>
        <w:rPr>
          <w:noProof/>
        </w:rPr>
        <mc:AlternateContent>
          <mc:Choice Requires="wps">
            <w:drawing>
              <wp:anchor distT="0" distB="0" distL="114300" distR="114300" simplePos="0" relativeHeight="251658263" behindDoc="0" locked="0" layoutInCell="1" allowOverlap="1" wp14:anchorId="2AC74257" wp14:editId="3FBA21F4">
                <wp:simplePos x="0" y="0"/>
                <wp:positionH relativeFrom="column">
                  <wp:posOffset>819673</wp:posOffset>
                </wp:positionH>
                <wp:positionV relativeFrom="paragraph">
                  <wp:posOffset>2259330</wp:posOffset>
                </wp:positionV>
                <wp:extent cx="4411345" cy="635"/>
                <wp:effectExtent l="0" t="0" r="0" b="0"/>
                <wp:wrapTopAndBottom/>
                <wp:docPr id="960334900" name="Text Box 1"/>
                <wp:cNvGraphicFramePr/>
                <a:graphic xmlns:a="http://schemas.openxmlformats.org/drawingml/2006/main">
                  <a:graphicData uri="http://schemas.microsoft.com/office/word/2010/wordprocessingShape">
                    <wps:wsp>
                      <wps:cNvSpPr txBox="1"/>
                      <wps:spPr>
                        <a:xfrm>
                          <a:off x="0" y="0"/>
                          <a:ext cx="4411345" cy="635"/>
                        </a:xfrm>
                        <a:prstGeom prst="rect">
                          <a:avLst/>
                        </a:prstGeom>
                        <a:solidFill>
                          <a:prstClr val="white"/>
                        </a:solidFill>
                        <a:ln>
                          <a:noFill/>
                        </a:ln>
                      </wps:spPr>
                      <wps:txbx>
                        <w:txbxContent>
                          <w:p w14:paraId="2A8B8DF1" w14:textId="404DA86C" w:rsidR="00A82685" w:rsidRPr="004E1179" w:rsidRDefault="00A82685" w:rsidP="00A82685">
                            <w:pPr>
                              <w:pStyle w:val="Caption"/>
                              <w:jc w:val="center"/>
                              <w:rPr>
                                <w:rFonts w:cs="Arial"/>
                                <w:noProof/>
                                <w:color w:val="0D0D0D" w:themeColor="text1" w:themeTint="F2"/>
                                <w:sz w:val="22"/>
                                <w:szCs w:val="21"/>
                              </w:rPr>
                            </w:pPr>
                            <w:bookmarkStart w:id="53" w:name="_Toc212200128"/>
                            <w:r>
                              <w:t xml:space="preserve">Figure 4.2.3. </w:t>
                            </w:r>
                            <w:r>
                              <w:fldChar w:fldCharType="begin"/>
                            </w:r>
                            <w:r>
                              <w:instrText xml:space="preserve"> SEQ Figure_4.2.3. \* ARABIC </w:instrText>
                            </w:r>
                            <w:r>
                              <w:fldChar w:fldCharType="separate"/>
                            </w:r>
                            <w:r w:rsidR="00FB29F8">
                              <w:rPr>
                                <w:noProof/>
                              </w:rPr>
                              <w:t>3</w:t>
                            </w:r>
                            <w:r>
                              <w:fldChar w:fldCharType="end"/>
                            </w:r>
                            <w:r>
                              <w:t xml:space="preserve"> Continuous Improvement and Government Integration</w:t>
                            </w:r>
                            <w:bookmarkEnd w:id="5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AC74257" id="_x0000_s1034" type="#_x0000_t202" style="position:absolute;left:0;text-align:left;margin-left:64.55pt;margin-top:177.9pt;width:347.35pt;height:.05pt;z-index:25165826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" stroked="f">
                <v:textbox style="mso-fit-shape-to-text:t" inset="0,0,0,0">
                  <w:txbxContent>
                    <w:p w14:paraId="2A8B8DF1" w14:textId="404DA86C" w:rsidR="00A82685" w:rsidRPr="004E1179" w:rsidRDefault="00A82685" w:rsidP="00A82685">
                      <w:pPr>
                        <w:pStyle w:val="Caption"/>
                        <w:jc w:val="center"/>
                        <w:rPr>
                          <w:rFonts w:cs="Arial"/>
                          <w:noProof/>
                          <w:color w:val="0D0D0D" w:themeColor="text1" w:themeTint="F2"/>
                          <w:sz w:val="22"/>
                          <w:szCs w:val="21"/>
                        </w:rPr>
                      </w:pPr>
                      <w:bookmarkStart w:id="54" w:name="_Toc212200128"/>
                      <w:r>
                        <w:t xml:space="preserve">Figure 4.2.3. </w:t>
                      </w:r>
                      <w:r>
                        <w:fldChar w:fldCharType="begin"/>
                      </w:r>
                      <w:r>
                        <w:instrText xml:space="preserve"> SEQ Figure_4.2.3. \* ARABIC </w:instrText>
                      </w:r>
                      <w:r>
                        <w:fldChar w:fldCharType="separate"/>
                      </w:r>
                      <w:r w:rsidR="00FB29F8">
                        <w:rPr>
                          <w:noProof/>
                        </w:rPr>
                        <w:t>3</w:t>
                      </w:r>
                      <w:r>
                        <w:fldChar w:fldCharType="end"/>
                      </w:r>
                      <w:r>
                        <w:t xml:space="preserve"> Continuous Improvement and Government Integration</w:t>
                      </w:r>
                      <w:bookmarkEnd w:id="54"/>
                    </w:p>
                  </w:txbxContent>
                </v:textbox>
                <w10:wrap type="topAndBottom"/>
              </v:shape>
            </w:pict>
          </mc:Fallback>
        </mc:AlternateContent>
      </w:r>
      <w:r w:rsidR="00F72463">
        <w:rPr>
          <w:rFonts w:cs="Arial"/>
          <w:i/>
          <w:iCs/>
          <w:noProof/>
          <w:color w:val="0D0D0D" w:themeColor="text1" w:themeTint="F2"/>
          <w:szCs w:val="21"/>
        </w:rPr>
        <w:drawing>
          <wp:anchor distT="0" distB="0" distL="114300" distR="114300" simplePos="0" relativeHeight="251658248" behindDoc="0" locked="0" layoutInCell="1" allowOverlap="1" wp14:anchorId="45675C3E" wp14:editId="54A0F744">
            <wp:simplePos x="0" y="0"/>
            <wp:positionH relativeFrom="column">
              <wp:posOffset>1620998</wp:posOffset>
            </wp:positionH>
            <wp:positionV relativeFrom="paragraph">
              <wp:posOffset>415290</wp:posOffset>
            </wp:positionV>
            <wp:extent cx="2653665" cy="1790700"/>
            <wp:effectExtent l="0" t="0" r="0" b="0"/>
            <wp:wrapTopAndBottom/>
            <wp:docPr id="117111724" name="Picture 2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11724" name="Picture 24" descr="A diagram of a diagram&#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53665" cy="1790700"/>
                    </a:xfrm>
                    <a:prstGeom prst="rect">
                      <a:avLst/>
                    </a:prstGeom>
                  </pic:spPr>
                </pic:pic>
              </a:graphicData>
            </a:graphic>
            <wp14:sizeRelH relativeFrom="page">
              <wp14:pctWidth>0</wp14:pctWidth>
            </wp14:sizeRelH>
            <wp14:sizeRelV relativeFrom="page">
              <wp14:pctHeight>0</wp14:pctHeight>
            </wp14:sizeRelV>
          </wp:anchor>
        </w:drawing>
      </w:r>
      <w:r w:rsidR="000764CC" w:rsidRPr="000764CC">
        <w:rPr>
          <w:rFonts w:cs="Arial"/>
          <w:b/>
          <w:bCs/>
          <w:szCs w:val="21"/>
        </w:rPr>
        <w:t>Stakeholder Alignment:</w:t>
      </w:r>
      <w:r w:rsidR="000764CC" w:rsidRPr="000764CC">
        <w:rPr>
          <w:rFonts w:cs="Arial"/>
          <w:szCs w:val="21"/>
        </w:rPr>
        <w:t xml:space="preserve"> QA findings inform CalSAWS and County outreach redesign priorities.</w:t>
      </w:r>
    </w:p>
    <w:p w14:paraId="1F26E82B" w14:textId="1BB520F8" w:rsidR="00F72463" w:rsidRDefault="00F72463" w:rsidP="00176E31">
      <w:pPr>
        <w:spacing w:before="120" w:after="120"/>
        <w:rPr>
          <w:rFonts w:cs="Arial"/>
          <w:i/>
          <w:iCs/>
          <w:color w:val="0D0D0D" w:themeColor="text1" w:themeTint="F2"/>
          <w:szCs w:val="21"/>
        </w:rPr>
      </w:pPr>
    </w:p>
    <w:p w14:paraId="32A57544" w14:textId="77777777" w:rsidR="000764CC" w:rsidRPr="000764CC" w:rsidRDefault="000764CC" w:rsidP="000764CC">
      <w:pPr>
        <w:spacing w:before="120" w:after="120"/>
        <w:ind w:left="360" w:hanging="360"/>
        <w:rPr>
          <w:rFonts w:cstheme="minorHAnsi"/>
          <w:b/>
          <w:bCs/>
          <w:color w:val="auto"/>
        </w:rPr>
      </w:pPr>
      <w:r w:rsidRPr="000764CC">
        <w:rPr>
          <w:rFonts w:cstheme="minorHAnsi"/>
          <w:b/>
          <w:bCs/>
          <w:color w:val="auto"/>
        </w:rPr>
        <w:t>10.</w:t>
      </w:r>
      <w:r w:rsidRPr="000764CC">
        <w:rPr>
          <w:rFonts w:cstheme="minorHAnsi"/>
          <w:b/>
          <w:bCs/>
          <w:color w:val="auto"/>
        </w:rPr>
        <w:tab/>
        <w:t>Closing Summary — Building Trust Through Clear and Inclusive Communication</w:t>
      </w:r>
    </w:p>
    <w:p w14:paraId="10907BA9" w14:textId="77777777" w:rsidR="000764CC" w:rsidRPr="000764CC" w:rsidRDefault="000764CC" w:rsidP="008C7C13">
      <w:pPr>
        <w:spacing w:before="120" w:after="120"/>
        <w:ind w:left="360"/>
        <w:rPr>
          <w:rFonts w:cs="Arial"/>
          <w:color w:val="0D0D0D" w:themeColor="text1" w:themeTint="F2"/>
          <w:szCs w:val="21"/>
        </w:rPr>
      </w:pPr>
      <w:r w:rsidRPr="000764CC">
        <w:rPr>
          <w:rFonts w:cs="Arial"/>
          <w:color w:val="0D0D0D" w:themeColor="text1" w:themeTint="F2"/>
          <w:szCs w:val="21"/>
        </w:rPr>
        <w:t>CalSAWS’ mission is to deliver equitable, accessible, and compassionate service across California. IBM’s QA approach operationalizes that mission, embedding clarity, inclusivity, and accessibility into every test cycle.</w:t>
      </w:r>
    </w:p>
    <w:p w14:paraId="11E4C097" w14:textId="77777777" w:rsidR="000764CC" w:rsidRPr="000764CC" w:rsidRDefault="000764CC" w:rsidP="008C7C13">
      <w:pPr>
        <w:spacing w:before="120" w:after="120"/>
        <w:ind w:left="360"/>
        <w:rPr>
          <w:rFonts w:cs="Arial"/>
          <w:color w:val="0D0D0D" w:themeColor="text1" w:themeTint="F2"/>
          <w:szCs w:val="21"/>
        </w:rPr>
      </w:pPr>
      <w:r w:rsidRPr="000764CC">
        <w:rPr>
          <w:rFonts w:cs="Arial"/>
          <w:color w:val="0D0D0D" w:themeColor="text1" w:themeTint="F2"/>
          <w:szCs w:val="21"/>
        </w:rPr>
        <w:t>With IBM, the Consortium gains:</w:t>
      </w:r>
    </w:p>
    <w:p w14:paraId="0FBD0B31" w14:textId="77777777" w:rsidR="000764CC" w:rsidRPr="000764CC" w:rsidRDefault="000764CC" w:rsidP="008C7C13">
      <w:pPr>
        <w:numPr>
          <w:ilvl w:val="0"/>
          <w:numId w:val="11"/>
        </w:numPr>
        <w:spacing w:before="60"/>
        <w:ind w:left="717" w:hanging="357"/>
        <w:rPr>
          <w:rFonts w:cs="Arial"/>
          <w:szCs w:val="21"/>
        </w:rPr>
      </w:pPr>
      <w:r w:rsidRPr="000764CC">
        <w:rPr>
          <w:rFonts w:cs="Arial"/>
          <w:b/>
          <w:bCs/>
          <w:szCs w:val="21"/>
        </w:rPr>
        <w:t>Mission-Driven QA:</w:t>
      </w:r>
      <w:r w:rsidRPr="000764CC">
        <w:rPr>
          <w:rFonts w:cs="Arial"/>
          <w:szCs w:val="21"/>
        </w:rPr>
        <w:t xml:space="preserve"> Ensuring every customer understands and trusts their communications.</w:t>
      </w:r>
    </w:p>
    <w:p w14:paraId="62632254" w14:textId="77777777" w:rsidR="000764CC" w:rsidRPr="000764CC" w:rsidRDefault="000764CC" w:rsidP="008C7C13">
      <w:pPr>
        <w:numPr>
          <w:ilvl w:val="0"/>
          <w:numId w:val="11"/>
        </w:numPr>
        <w:spacing w:before="60"/>
        <w:ind w:left="717" w:hanging="357"/>
        <w:rPr>
          <w:rFonts w:cs="Arial"/>
          <w:szCs w:val="21"/>
        </w:rPr>
      </w:pPr>
      <w:r w:rsidRPr="000764CC">
        <w:rPr>
          <w:rFonts w:cs="Arial"/>
          <w:b/>
          <w:bCs/>
          <w:szCs w:val="21"/>
        </w:rPr>
        <w:t>Accessibility at Scale:</w:t>
      </w:r>
      <w:r w:rsidRPr="000764CC">
        <w:rPr>
          <w:rFonts w:cs="Arial"/>
          <w:szCs w:val="21"/>
        </w:rPr>
        <w:t xml:space="preserve"> WCAG/Section 508 validation integrated from design through release.</w:t>
      </w:r>
    </w:p>
    <w:p w14:paraId="1028CDF4" w14:textId="77777777" w:rsidR="000764CC" w:rsidRPr="000764CC" w:rsidRDefault="000764CC" w:rsidP="008C7C13">
      <w:pPr>
        <w:numPr>
          <w:ilvl w:val="0"/>
          <w:numId w:val="11"/>
        </w:numPr>
        <w:spacing w:before="60"/>
        <w:ind w:left="717" w:hanging="357"/>
        <w:rPr>
          <w:rFonts w:cs="Arial"/>
          <w:szCs w:val="21"/>
        </w:rPr>
      </w:pPr>
      <w:r w:rsidRPr="000764CC">
        <w:rPr>
          <w:rFonts w:cs="Arial"/>
          <w:b/>
          <w:bCs/>
          <w:szCs w:val="21"/>
        </w:rPr>
        <w:t>Cultural and Linguistic Inclusivity:</w:t>
      </w:r>
      <w:r w:rsidRPr="000764CC">
        <w:rPr>
          <w:rFonts w:cs="Arial"/>
          <w:szCs w:val="21"/>
        </w:rPr>
        <w:t xml:space="preserve"> QA that reflects California’s diversity and values.</w:t>
      </w:r>
    </w:p>
    <w:p w14:paraId="0871D087" w14:textId="77777777" w:rsidR="000764CC" w:rsidRPr="000764CC" w:rsidRDefault="000764CC" w:rsidP="008C7C13">
      <w:pPr>
        <w:numPr>
          <w:ilvl w:val="0"/>
          <w:numId w:val="11"/>
        </w:numPr>
        <w:spacing w:before="60"/>
        <w:ind w:left="717" w:hanging="357"/>
        <w:rPr>
          <w:rFonts w:cs="Arial"/>
          <w:szCs w:val="21"/>
        </w:rPr>
      </w:pPr>
      <w:r w:rsidRPr="000764CC">
        <w:rPr>
          <w:rFonts w:cs="Arial"/>
          <w:b/>
          <w:bCs/>
          <w:szCs w:val="21"/>
        </w:rPr>
        <w:t>Journey-Based Validation:</w:t>
      </w:r>
      <w:r w:rsidRPr="000764CC">
        <w:rPr>
          <w:rFonts w:cs="Arial"/>
          <w:szCs w:val="21"/>
        </w:rPr>
        <w:t xml:space="preserve"> End-to-end assurance across CalSAWS and BenefitsCal touchpoints.</w:t>
      </w:r>
    </w:p>
    <w:p w14:paraId="11597814" w14:textId="77777777" w:rsidR="000764CC" w:rsidRPr="000764CC" w:rsidRDefault="000764CC" w:rsidP="008C7C13">
      <w:pPr>
        <w:numPr>
          <w:ilvl w:val="0"/>
          <w:numId w:val="11"/>
        </w:numPr>
        <w:spacing w:before="60"/>
        <w:ind w:left="717" w:hanging="357"/>
        <w:rPr>
          <w:rFonts w:cs="Arial"/>
          <w:szCs w:val="21"/>
        </w:rPr>
      </w:pPr>
      <w:r w:rsidRPr="000764CC">
        <w:rPr>
          <w:rFonts w:cs="Arial"/>
          <w:b/>
          <w:bCs/>
          <w:szCs w:val="21"/>
        </w:rPr>
        <w:t>Transparent Governance:</w:t>
      </w:r>
      <w:r w:rsidRPr="000764CC">
        <w:rPr>
          <w:rFonts w:cs="Arial"/>
          <w:szCs w:val="21"/>
        </w:rPr>
        <w:t xml:space="preserve"> Unified dashboards and plain-language reporting for all stakeholders.</w:t>
      </w:r>
    </w:p>
    <w:p w14:paraId="3060511D" w14:textId="77777777" w:rsidR="000764CC" w:rsidRPr="000764CC" w:rsidRDefault="000764CC" w:rsidP="008C7C13">
      <w:pPr>
        <w:numPr>
          <w:ilvl w:val="0"/>
          <w:numId w:val="11"/>
        </w:numPr>
        <w:spacing w:before="60"/>
        <w:ind w:left="717" w:hanging="357"/>
        <w:rPr>
          <w:rFonts w:cs="Arial"/>
          <w:szCs w:val="21"/>
        </w:rPr>
      </w:pPr>
      <w:r w:rsidRPr="000764CC">
        <w:rPr>
          <w:rFonts w:cs="Arial"/>
          <w:b/>
          <w:bCs/>
          <w:szCs w:val="21"/>
        </w:rPr>
        <w:t>Continuous Improvement:</w:t>
      </w:r>
      <w:r w:rsidRPr="000764CC">
        <w:rPr>
          <w:rFonts w:cs="Arial"/>
          <w:szCs w:val="21"/>
        </w:rPr>
        <w:t xml:space="preserve"> Data-driven refinements that enhance outreach quality and confidence.</w:t>
      </w:r>
    </w:p>
    <w:p w14:paraId="7A1481B3" w14:textId="77777777" w:rsidR="000764CC" w:rsidRPr="000764CC" w:rsidRDefault="000764CC" w:rsidP="008C7C13">
      <w:pPr>
        <w:spacing w:before="120" w:after="120"/>
        <w:ind w:left="360"/>
        <w:rPr>
          <w:rFonts w:cstheme="minorHAnsi"/>
          <w:color w:val="auto"/>
          <w:lang w:eastAsia="en-US"/>
        </w:rPr>
      </w:pPr>
      <w:r w:rsidRPr="000764CC">
        <w:rPr>
          <w:rFonts w:cstheme="minorHAnsi"/>
          <w:color w:val="auto"/>
          <w:lang w:eastAsia="en-US"/>
        </w:rPr>
        <w:lastRenderedPageBreak/>
        <w:t xml:space="preserve">Together, these activities make quality more than a technical measure; they make it a human outcome. By embedding </w:t>
      </w:r>
      <w:r w:rsidRPr="000764CC">
        <w:rPr>
          <w:rFonts w:cs="Arial"/>
          <w:color w:val="0D0D0D" w:themeColor="text1" w:themeTint="F2"/>
          <w:szCs w:val="21"/>
        </w:rPr>
        <w:t>accessibility</w:t>
      </w:r>
      <w:r w:rsidRPr="000764CC">
        <w:rPr>
          <w:rFonts w:cstheme="minorHAnsi"/>
          <w:color w:val="auto"/>
          <w:lang w:eastAsia="en-US"/>
        </w:rPr>
        <w:t>, linguistic inclusivity, and customer-journey validation into every QA process, IBM ensures that CalSAWS communications are accurate, comprehensible, and compassionate.</w:t>
      </w:r>
    </w:p>
    <w:p w14:paraId="7FC0AAC2" w14:textId="77777777" w:rsidR="000764CC" w:rsidRPr="000764CC" w:rsidRDefault="000764CC" w:rsidP="008C7C13">
      <w:pPr>
        <w:spacing w:before="120" w:after="120"/>
        <w:ind w:left="360"/>
        <w:rPr>
          <w:rFonts w:cstheme="minorHAnsi"/>
          <w:color w:val="auto"/>
        </w:rPr>
      </w:pPr>
      <w:r w:rsidRPr="000764CC">
        <w:rPr>
          <w:rFonts w:cstheme="minorHAnsi"/>
          <w:color w:val="auto"/>
          <w:lang w:eastAsia="en-US"/>
        </w:rPr>
        <w:t xml:space="preserve">This approach not only strengthens operational consistency across all vendors but also advances the Consortium’s vision of equitable, transparent service delivery. With IBM as its QA partner, CalSAWS gains a continuous feedback system that connects data to experience, turning quality </w:t>
      </w:r>
      <w:r w:rsidRPr="000764CC">
        <w:rPr>
          <w:rFonts w:cs="Arial"/>
          <w:color w:val="0D0D0D" w:themeColor="text1" w:themeTint="F2"/>
          <w:szCs w:val="21"/>
        </w:rPr>
        <w:t>assurance</w:t>
      </w:r>
      <w:r w:rsidRPr="000764CC">
        <w:rPr>
          <w:rFonts w:cstheme="minorHAnsi"/>
          <w:color w:val="auto"/>
          <w:lang w:eastAsia="en-US"/>
        </w:rPr>
        <w:t xml:space="preserve"> into a sustained driver of confidence, clarity, and community trust across California.</w:t>
      </w:r>
    </w:p>
    <w:p w14:paraId="4146BBAF" w14:textId="77777777" w:rsidR="000764CC" w:rsidRDefault="000764CC" w:rsidP="00FF3146">
      <w:pPr>
        <w:rPr>
          <w:color w:val="00B0F0"/>
          <w:sz w:val="28"/>
          <w:szCs w:val="28"/>
        </w:rPr>
      </w:pPr>
    </w:p>
    <w:p w14:paraId="6C3443F5" w14:textId="77777777" w:rsidR="007929DB" w:rsidRDefault="007929DB" w:rsidP="00767673">
      <w:pPr>
        <w:pStyle w:val="CS-IBMResponseText"/>
      </w:pPr>
    </w:p>
    <w:p w14:paraId="603BEF7C" w14:textId="67183AE1" w:rsidR="007929DB" w:rsidRDefault="007929DB" w:rsidP="00767673">
      <w:pPr>
        <w:pStyle w:val="CS-RFPBodyText"/>
      </w:pPr>
      <w:r>
        <w:br w:type="page"/>
      </w:r>
    </w:p>
    <w:p w14:paraId="23EC6D5B" w14:textId="77777777" w:rsidR="00767673" w:rsidRDefault="00767673" w:rsidP="00767673">
      <w:pPr>
        <w:pStyle w:val="Heading2"/>
      </w:pPr>
      <w:bookmarkStart w:id="55" w:name="_Toc213070150"/>
      <w:r w:rsidRPr="00767673">
        <w:lastRenderedPageBreak/>
        <w:t>Software Development Lifecycle</w:t>
      </w:r>
      <w:bookmarkEnd w:id="55"/>
    </w:p>
    <w:p w14:paraId="6E8B889C" w14:textId="08A2F948" w:rsidR="00511DCC" w:rsidRPr="00B554AF" w:rsidRDefault="00511DCC" w:rsidP="008E23FC">
      <w:pPr>
        <w:pStyle w:val="Heading3"/>
      </w:pPr>
      <w:bookmarkStart w:id="56" w:name="_Toc213070151"/>
      <w:r w:rsidRPr="00B554AF">
        <w:t>UA6</w:t>
      </w:r>
      <w:r w:rsidR="001A361F">
        <w:t xml:space="preserve"> – </w:t>
      </w:r>
      <w:r w:rsidR="001C59D0">
        <w:t>Approach Enhances Overall</w:t>
      </w:r>
      <w:r w:rsidR="00D933A1">
        <w:t xml:space="preserve"> Impact of QA </w:t>
      </w:r>
      <w:r w:rsidR="00C107F0">
        <w:t>Services on Full Development Lifecycle</w:t>
      </w:r>
      <w:bookmarkEnd w:id="56"/>
    </w:p>
    <w:p w14:paraId="7FCB4B30" w14:textId="77777777" w:rsidR="002B6763" w:rsidRPr="00976630" w:rsidRDefault="002B6763" w:rsidP="00CF7600">
      <w:pPr>
        <w:pStyle w:val="CS-RFPBodyText"/>
        <w:numPr>
          <w:ilvl w:val="0"/>
          <w:numId w:val="39"/>
        </w:numPr>
        <w:spacing w:before="0" w:after="0"/>
        <w:rPr>
          <w:i/>
          <w:szCs w:val="22"/>
        </w:rPr>
      </w:pPr>
      <w:r w:rsidRPr="00976630">
        <w:rPr>
          <w:i/>
          <w:szCs w:val="22"/>
        </w:rPr>
        <w:t xml:space="preserve">The Consortium is seeking world-class contractors that can provide innovative solutions to more efficient and effective software development techniques and tools.  Quality Assurance has historically been applied on the “back end” of Software Development lifecycles.  </w:t>
      </w:r>
    </w:p>
    <w:p w14:paraId="25334B7E" w14:textId="77777777" w:rsidR="002B6763" w:rsidRPr="00976630" w:rsidRDefault="002B6763" w:rsidP="00CF7600">
      <w:pPr>
        <w:pStyle w:val="CS-RFPBodyText"/>
        <w:numPr>
          <w:ilvl w:val="0"/>
          <w:numId w:val="39"/>
        </w:numPr>
        <w:spacing w:before="0" w:after="0"/>
        <w:rPr>
          <w:i/>
          <w:szCs w:val="22"/>
        </w:rPr>
      </w:pPr>
      <w:r w:rsidRPr="00976630">
        <w:rPr>
          <w:i/>
          <w:szCs w:val="22"/>
        </w:rPr>
        <w:t>Describe how your approach can enhance the overall impact of QA services on the full lifecycle timeline of software development by “pulling forward” the identification of risk areas.</w:t>
      </w:r>
    </w:p>
    <w:p w14:paraId="668E06A3" w14:textId="03C12EF6" w:rsidR="00CD7E15" w:rsidRPr="00976630" w:rsidRDefault="002B6763" w:rsidP="00CF7600">
      <w:pPr>
        <w:pStyle w:val="CS-RFPBodyText"/>
        <w:numPr>
          <w:ilvl w:val="0"/>
          <w:numId w:val="39"/>
        </w:numPr>
        <w:spacing w:before="0" w:after="0"/>
        <w:rPr>
          <w:i/>
          <w:szCs w:val="22"/>
        </w:rPr>
      </w:pPr>
      <w:r w:rsidRPr="00976630">
        <w:rPr>
          <w:i/>
          <w:szCs w:val="22"/>
        </w:rPr>
        <w:t>Provide demonstrated examples from previous QA projects as applicable.</w:t>
      </w:r>
    </w:p>
    <w:p w14:paraId="3AA03FA9" w14:textId="77777777" w:rsidR="0073445D" w:rsidRDefault="0073445D" w:rsidP="008E23FC">
      <w:pPr>
        <w:pStyle w:val="CS-IBMResponseText"/>
        <w:rPr>
          <w:color w:val="0070C0"/>
          <w:sz w:val="28"/>
          <w:szCs w:val="28"/>
        </w:rPr>
      </w:pPr>
    </w:p>
    <w:p w14:paraId="7A04C38D" w14:textId="4A582194" w:rsidR="00511DCC" w:rsidRPr="00CD7E15" w:rsidRDefault="00A06CBD" w:rsidP="008E23FC">
      <w:pPr>
        <w:pStyle w:val="CS-IBMResponseText"/>
        <w:rPr>
          <w:color w:val="0070C0"/>
          <w:sz w:val="28"/>
          <w:szCs w:val="28"/>
        </w:rPr>
      </w:pPr>
      <w:r>
        <w:rPr>
          <w:color w:val="0070C0"/>
          <w:sz w:val="28"/>
          <w:szCs w:val="28"/>
        </w:rPr>
        <w:t xml:space="preserve">Our </w:t>
      </w:r>
      <w:r w:rsidR="00FE5B96">
        <w:rPr>
          <w:color w:val="0070C0"/>
          <w:sz w:val="28"/>
          <w:szCs w:val="28"/>
        </w:rPr>
        <w:t>U</w:t>
      </w:r>
      <w:r w:rsidR="00511DCC" w:rsidRPr="00CD7E15">
        <w:rPr>
          <w:color w:val="0070C0"/>
          <w:sz w:val="28"/>
          <w:szCs w:val="28"/>
        </w:rPr>
        <w:t>nderstanding of the CalSAWS Environment</w:t>
      </w:r>
    </w:p>
    <w:p w14:paraId="23CEF43B" w14:textId="10471864" w:rsidR="00511DCC" w:rsidRPr="008C0BBE" w:rsidRDefault="00511DCC" w:rsidP="008E23FC">
      <w:pPr>
        <w:pStyle w:val="CS-IBMResponseText"/>
      </w:pPr>
      <w:r w:rsidRPr="00B554AF">
        <w:t>The CalSAWS Consortium manages one of the nation’s largest eligibility and benefits systems—sp</w:t>
      </w:r>
      <w:r w:rsidRPr="008C0BBE">
        <w:t xml:space="preserve">anning 58 counties, multiple program mandates, and a complex network of vendors and governance </w:t>
      </w:r>
      <w:r w:rsidR="00BD1683">
        <w:t xml:space="preserve">(e.g., Consortium, JPA, PSC) </w:t>
      </w:r>
      <w:r w:rsidRPr="008C0BBE">
        <w:t xml:space="preserve">bodies. Quality in this environment is not simply about code accuracy; it is about safeguarding public trust, maintaining </w:t>
      </w:r>
      <w:r w:rsidR="00733501" w:rsidRPr="008C0BBE">
        <w:t>accuracy</w:t>
      </w:r>
      <w:r w:rsidRPr="008C0BBE">
        <w:t>, timeliness and continuity of benefit delivery to recipients of public assistance programs and services, and ensuring that counties can deliver services without disruption.</w:t>
      </w:r>
    </w:p>
    <w:p w14:paraId="557C4696" w14:textId="6591A2B9" w:rsidR="00511DCC" w:rsidRPr="008C0BBE" w:rsidRDefault="00511DCC" w:rsidP="008E23FC">
      <w:pPr>
        <w:pStyle w:val="CS-IBMResponseText"/>
      </w:pPr>
      <w:r w:rsidRPr="008C0BBE">
        <w:t xml:space="preserve">CalSAWS’ intent is clear: quality must evolve from a reactive process into a proactive discipline, shifting the focus from fixing problems after they occur to </w:t>
      </w:r>
      <w:r w:rsidR="00733501" w:rsidRPr="008C0BBE">
        <w:t>prevent</w:t>
      </w:r>
      <w:r w:rsidRPr="008C0BBE">
        <w:t xml:space="preserve"> them from the start. Instead of waiting for issues to appear after build and test, the Consortium seeks to embed quality from the beginning through clear, testable requirements, early risk identification, and continuous feedback. </w:t>
      </w:r>
      <w:r w:rsidR="00CF4B62">
        <w:t>Through Quality Engineering (QE), our team ensures that quality is everyone’s responsibility—woven through every phase of delivery and strengthened by collaboration across CalSAWS’ multi-vendor landscape.</w:t>
      </w:r>
      <w:r w:rsidRPr="008C0BBE">
        <w:t xml:space="preserve"> </w:t>
      </w:r>
      <w:r w:rsidRPr="00CF4B62">
        <w:rPr>
          <w:i/>
          <w:iCs/>
          <w:color w:val="EE0000"/>
        </w:rPr>
        <w:t>s</w:t>
      </w:r>
      <w:r w:rsidRPr="008C0BBE">
        <w:t>. By incorporating QE principles and practices across the SDLC lifecycle, starting from the requirements gathering and design, within the CalSAWS’ multi-vendor environment, this results in better collaboration, alignment, and standards across the CalSAWS ecosystem, while building trust across the Consortium and vendor personnel.</w:t>
      </w:r>
    </w:p>
    <w:p w14:paraId="1BACC974" w14:textId="446B11F3" w:rsidR="00511DCC" w:rsidRPr="008C0BBE" w:rsidRDefault="00511DCC" w:rsidP="008E23FC">
      <w:pPr>
        <w:pStyle w:val="CS-IBMResponseText"/>
      </w:pPr>
      <w:r w:rsidRPr="008C0BBE">
        <w:t>CalSAWS’ success depends on effective coordination across a multi-contractor ecosystem that includes development vendors, system integrators, operations providers, and the Consortium’s governance bodies</w:t>
      </w:r>
      <w:r w:rsidR="00454327">
        <w:t xml:space="preserve"> (e.g., JPA, PSC)</w:t>
      </w:r>
      <w:r w:rsidRPr="008C0BBE">
        <w:t>. The QE approach is designed to fit within this environment, not replace it. We focus on integration, alignment, and shared visibility—ensuring that quality and security are strengthened at every stage without disrupting the work of partner vendors.</w:t>
      </w:r>
    </w:p>
    <w:p w14:paraId="4EB91C44" w14:textId="77777777" w:rsidR="00511DCC" w:rsidRPr="00B554AF" w:rsidRDefault="00511DCC" w:rsidP="008E23FC">
      <w:pPr>
        <w:pStyle w:val="CS-IBMResponseText"/>
      </w:pPr>
      <w:r w:rsidRPr="00B554AF">
        <w:t>Through this approach, CalSAWS gains:</w:t>
      </w:r>
    </w:p>
    <w:p w14:paraId="2E7E2E3A" w14:textId="77777777" w:rsidR="00511DCC" w:rsidRPr="00B554AF" w:rsidRDefault="00511DCC" w:rsidP="007E1626">
      <w:pPr>
        <w:pStyle w:val="CS-IBMBullet1"/>
      </w:pPr>
      <w:r w:rsidRPr="00972FC9">
        <w:rPr>
          <w:b/>
          <w:bCs/>
        </w:rPr>
        <w:t xml:space="preserve">Early visibility into risk. </w:t>
      </w:r>
      <w:r w:rsidRPr="00B554AF">
        <w:t>Structured reviews and predictive analytics surface problem areas long before code is delivered.</w:t>
      </w:r>
    </w:p>
    <w:p w14:paraId="39C03286" w14:textId="77777777" w:rsidR="00511DCC" w:rsidRPr="00B554AF" w:rsidRDefault="00511DCC" w:rsidP="007E1626">
      <w:pPr>
        <w:pStyle w:val="CS-IBMBullet1"/>
      </w:pPr>
      <w:r w:rsidRPr="00972FC9">
        <w:rPr>
          <w:b/>
          <w:bCs/>
        </w:rPr>
        <w:lastRenderedPageBreak/>
        <w:t xml:space="preserve">Defect prevention rather than detection. </w:t>
      </w:r>
      <w:r w:rsidRPr="00B554AF">
        <w:t>Clear acceptance criteria and design validation reduce rework and protect release schedules.</w:t>
      </w:r>
    </w:p>
    <w:p w14:paraId="1D5F1526" w14:textId="77777777" w:rsidR="00511DCC" w:rsidRPr="00B554AF" w:rsidRDefault="00511DCC" w:rsidP="007E1626">
      <w:pPr>
        <w:pStyle w:val="CS-IBMBullet1"/>
      </w:pPr>
      <w:r w:rsidRPr="00972FC9">
        <w:rPr>
          <w:b/>
          <w:bCs/>
        </w:rPr>
        <w:t xml:space="preserve">Automation and AI used purposefully. </w:t>
      </w:r>
      <w:r w:rsidRPr="00B554AF">
        <w:t>Intelligent tooling strengthens coverage, accelerates testing, and supports faster compliance with policy changes.</w:t>
      </w:r>
    </w:p>
    <w:p w14:paraId="63BB1DCE" w14:textId="77777777" w:rsidR="00511DCC" w:rsidRPr="00B554AF" w:rsidRDefault="00511DCC" w:rsidP="007E1626">
      <w:pPr>
        <w:pStyle w:val="CS-IBMBullet1"/>
      </w:pPr>
      <w:r w:rsidRPr="00972FC9">
        <w:rPr>
          <w:b/>
          <w:bCs/>
        </w:rPr>
        <w:t>Continuous improvement built into governance.</w:t>
      </w:r>
      <w:r w:rsidRPr="00B554AF">
        <w:t xml:space="preserve"> Quality metrics and retrospectives feed directly into PMO dashboards, enabling data-driven adjustments across releases and vendors.</w:t>
      </w:r>
    </w:p>
    <w:p w14:paraId="1C736139" w14:textId="77777777" w:rsidR="00511DCC" w:rsidRPr="008C0BBE" w:rsidRDefault="00511DCC" w:rsidP="008E23FC">
      <w:pPr>
        <w:pStyle w:val="CS-IBMResponseText"/>
      </w:pPr>
      <w:r w:rsidRPr="008C0BBE">
        <w:t>In short, Quality Engineering turns QA from a checkpoint into a core CalSAWS management function—one that enables earlier decisions, lower total cost of quality, and uninterrupted service delivery for Californians.</w:t>
      </w:r>
    </w:p>
    <w:p w14:paraId="11658514" w14:textId="77777777" w:rsidR="00511DCC" w:rsidRPr="00B554AF" w:rsidRDefault="00511DCC" w:rsidP="008E23FC">
      <w:pPr>
        <w:pStyle w:val="CS-IBMResponseText"/>
      </w:pPr>
      <w:r w:rsidRPr="00B554AF">
        <w:t>Our QA approach working in a multi-vendor environment includes the following organizations:</w:t>
      </w:r>
    </w:p>
    <w:p w14:paraId="7EAEFAAC" w14:textId="77777777" w:rsidR="00511DCC" w:rsidRPr="00B554AF" w:rsidRDefault="00511DCC" w:rsidP="003D21B4">
      <w:pPr>
        <w:pStyle w:val="CS-IBMBullet1"/>
      </w:pPr>
      <w:r w:rsidRPr="003D21B4">
        <w:rPr>
          <w:b/>
          <w:bCs/>
        </w:rPr>
        <w:t xml:space="preserve">Large U.S. Airline: </w:t>
      </w:r>
      <w:r w:rsidRPr="00B554AF">
        <w:t>Shift-left QA and security embedded into a DevSecOps pipeline involving five vendor teams → 98% defect containment, 80% in-sprint automation, 40% faster releases.</w:t>
      </w:r>
    </w:p>
    <w:p w14:paraId="19D39159" w14:textId="77777777" w:rsidR="00511DCC" w:rsidRPr="00B554AF" w:rsidRDefault="00511DCC" w:rsidP="003D21B4">
      <w:pPr>
        <w:pStyle w:val="CS-IBMBullet1"/>
      </w:pPr>
      <w:r w:rsidRPr="003D21B4">
        <w:rPr>
          <w:b/>
          <w:bCs/>
        </w:rPr>
        <w:t xml:space="preserve">Global Financial Institution: </w:t>
      </w:r>
      <w:r w:rsidRPr="00B554AF">
        <w:t>Automated regression and security scans across multiple development vendors → release predictability improved 35%, vulnerabilities reduced 60%.</w:t>
      </w:r>
    </w:p>
    <w:p w14:paraId="3B72FC12" w14:textId="0A1CDD5E" w:rsidR="00E917FC" w:rsidRDefault="00511DCC" w:rsidP="006A28DC">
      <w:pPr>
        <w:pStyle w:val="CS-IBMBullet1"/>
      </w:pPr>
      <w:r w:rsidRPr="003D21B4">
        <w:rPr>
          <w:b/>
          <w:bCs/>
        </w:rPr>
        <w:t>State Medicaid Modernization:</w:t>
      </w:r>
      <w:r w:rsidRPr="00B554AF">
        <w:t xml:space="preserve"> Collaboration with multiple state IT and integration vendors → defect leakage &lt;1%, on-time compliance with ACA mandates.</w:t>
      </w:r>
    </w:p>
    <w:p w14:paraId="5A876695" w14:textId="5CDAD9F8" w:rsidR="00CD7E15" w:rsidRPr="00370EB1" w:rsidRDefault="00CD7E15" w:rsidP="008E23FC">
      <w:pPr>
        <w:pStyle w:val="CS-IBMResponseText"/>
      </w:pPr>
    </w:p>
    <w:p w14:paraId="717FAA59" w14:textId="77777777" w:rsidR="00511DCC" w:rsidRPr="00CD7E15" w:rsidRDefault="00511DCC" w:rsidP="008E23FC">
      <w:pPr>
        <w:pStyle w:val="CS-IBMResponseText"/>
        <w:rPr>
          <w:color w:val="0070C0"/>
          <w:sz w:val="28"/>
          <w:szCs w:val="28"/>
        </w:rPr>
      </w:pPr>
      <w:r w:rsidRPr="00CD7E15">
        <w:rPr>
          <w:color w:val="0070C0"/>
          <w:sz w:val="28"/>
          <w:szCs w:val="28"/>
        </w:rPr>
        <w:t>Our Perspective on Quality in the CalSAWS Lifecycle</w:t>
      </w:r>
    </w:p>
    <w:p w14:paraId="49B70F18" w14:textId="77777777" w:rsidR="00511DCC" w:rsidRPr="00B554AF" w:rsidRDefault="00511DCC" w:rsidP="008E23FC">
      <w:pPr>
        <w:pStyle w:val="CS-IBMResponseText"/>
      </w:pPr>
      <w:r w:rsidRPr="00B554AF">
        <w:t>CalSAWS operates at a scale that few systems match, connecting 58 counties, thousands of Human Service workers, and millions of Californians who rely on timely and accurate benefit delivery. In this environment, quality is not a single testing milestone; it is a continuous discipline that must span the entire Software Development Lifecycle (SDLC).</w:t>
      </w:r>
    </w:p>
    <w:p w14:paraId="0ECAE1D1" w14:textId="77777777" w:rsidR="00511DCC" w:rsidRPr="00B554AF" w:rsidRDefault="00511DCC" w:rsidP="008E23FC">
      <w:pPr>
        <w:pStyle w:val="CS-IBMResponseText"/>
      </w:pPr>
      <w:r w:rsidRPr="00B554AF">
        <w:t>Three principles guide how we approach quality within CalSAWS:</w:t>
      </w:r>
    </w:p>
    <w:p w14:paraId="7CD9C2F9" w14:textId="7265CF3B" w:rsidR="003025F6" w:rsidRDefault="003025F6" w:rsidP="00764BDA">
      <w:pPr>
        <w:pStyle w:val="CS-IBMNumber1"/>
      </w:pPr>
      <w:r>
        <w:t>1.</w:t>
      </w:r>
      <w:r>
        <w:tab/>
      </w:r>
      <w:r w:rsidRPr="00764BDA">
        <w:rPr>
          <w:b/>
          <w:bCs/>
        </w:rPr>
        <w:t>Quality must start early.</w:t>
      </w:r>
      <w:r>
        <w:t xml:space="preserve"> In a system of this complexity, risk prevention begins </w:t>
      </w:r>
      <w:r w:rsidR="003A085B">
        <w:t>with</w:t>
      </w:r>
      <w:r>
        <w:t xml:space="preserve"> requirements and design, not after development.</w:t>
      </w:r>
    </w:p>
    <w:p w14:paraId="4919BEBF" w14:textId="77777777" w:rsidR="003025F6" w:rsidRDefault="003025F6" w:rsidP="00764BDA">
      <w:pPr>
        <w:pStyle w:val="CS-IBMNumber1"/>
      </w:pPr>
      <w:r>
        <w:t>2.</w:t>
      </w:r>
      <w:r>
        <w:tab/>
      </w:r>
      <w:r w:rsidRPr="00764BDA">
        <w:rPr>
          <w:b/>
          <w:bCs/>
        </w:rPr>
        <w:t>Innovation must have purpose.</w:t>
      </w:r>
      <w:r>
        <w:t xml:space="preserve"> Tools such as AI, automation, and predictive analytics are only valuable if they strengthen accuracy, efficiency, and trust across the program.</w:t>
      </w:r>
    </w:p>
    <w:p w14:paraId="051C9CAC" w14:textId="77777777" w:rsidR="003025F6" w:rsidRDefault="003025F6" w:rsidP="00764BDA">
      <w:pPr>
        <w:pStyle w:val="CS-IBMNumber1"/>
      </w:pPr>
      <w:r>
        <w:t>3.</w:t>
      </w:r>
      <w:r>
        <w:tab/>
      </w:r>
      <w:r w:rsidRPr="00764BDA">
        <w:rPr>
          <w:b/>
          <w:bCs/>
        </w:rPr>
        <w:t>Quality is ultimately about people.</w:t>
      </w:r>
      <w:r>
        <w:t xml:space="preserve"> Every improvement in testing, automation, or release management supports equitable access to benefits and consistent service for California’s residents.</w:t>
      </w:r>
    </w:p>
    <w:p w14:paraId="6C4C30FE" w14:textId="229D3C3C" w:rsidR="00511DCC" w:rsidRPr="00B554AF" w:rsidRDefault="00511DCC" w:rsidP="003025F6">
      <w:pPr>
        <w:pStyle w:val="CS-IBMResponseText"/>
      </w:pPr>
      <w:r w:rsidRPr="00B554AF">
        <w:t>Applying these principles, our QE framework will help CalSAWS transition from traditional QA to a proactive, data-driven model where quality is designed, measured, and improved throughout the lifecycle.</w:t>
      </w:r>
    </w:p>
    <w:p w14:paraId="42006D12" w14:textId="77777777" w:rsidR="00511DCC" w:rsidRPr="00B554AF" w:rsidRDefault="00511DCC" w:rsidP="008E23FC">
      <w:pPr>
        <w:pStyle w:val="CS-IBMResponseText"/>
      </w:pPr>
      <w:r w:rsidRPr="00B554AF">
        <w:t>Across similar large-scale eligibility and health systems—including California’s MMIS modernization and multi-state human services programs—this approach has consistently delivered measurable results:</w:t>
      </w:r>
    </w:p>
    <w:p w14:paraId="25651B7D" w14:textId="77777777" w:rsidR="00511DCC" w:rsidRPr="00B554AF" w:rsidRDefault="00511DCC" w:rsidP="008631F8">
      <w:pPr>
        <w:pStyle w:val="CS-IBMBullet1"/>
      </w:pPr>
      <w:r w:rsidRPr="003114EF">
        <w:rPr>
          <w:b/>
          <w:bCs/>
        </w:rPr>
        <w:lastRenderedPageBreak/>
        <w:t>Less than 1% production defect leakage</w:t>
      </w:r>
      <w:r w:rsidRPr="00B554AF">
        <w:t xml:space="preserve"> across enterprise releases.</w:t>
      </w:r>
    </w:p>
    <w:p w14:paraId="32DC5CFB" w14:textId="77777777" w:rsidR="00511DCC" w:rsidRPr="00B554AF" w:rsidRDefault="00511DCC" w:rsidP="008631F8">
      <w:pPr>
        <w:pStyle w:val="CS-IBMBullet1"/>
      </w:pPr>
      <w:r w:rsidRPr="008C0BBE">
        <w:rPr>
          <w:b/>
          <w:bCs/>
        </w:rPr>
        <w:t>25–40% faster release cycles</w:t>
      </w:r>
      <w:r w:rsidRPr="00B554AF">
        <w:t xml:space="preserve"> through automated validation and continuous testing.</w:t>
      </w:r>
    </w:p>
    <w:p w14:paraId="4AE7E977" w14:textId="77777777" w:rsidR="00511DCC" w:rsidRPr="00B554AF" w:rsidRDefault="00511DCC" w:rsidP="008631F8">
      <w:pPr>
        <w:pStyle w:val="CS-IBMBullet1"/>
      </w:pPr>
      <w:r w:rsidRPr="008C0BBE">
        <w:rPr>
          <w:b/>
          <w:bCs/>
        </w:rPr>
        <w:t>100% on-time compliance</w:t>
      </w:r>
      <w:r w:rsidRPr="00B554AF">
        <w:t xml:space="preserve"> with complex, legislatively mandated system changes.</w:t>
      </w:r>
    </w:p>
    <w:p w14:paraId="3DF463BB" w14:textId="393D9BF8" w:rsidR="00511DCC" w:rsidRPr="00B554AF" w:rsidRDefault="00511DCC" w:rsidP="008E23FC">
      <w:pPr>
        <w:pStyle w:val="CS-IBMResponseText"/>
      </w:pPr>
      <w:r w:rsidRPr="00B554AF">
        <w:t>This same discipline delivers earlier risk visibility, more predictable delivery, and a resilient platform that counties and the Residents of California</w:t>
      </w:r>
      <w:r w:rsidR="00CF3725">
        <w:t xml:space="preserve"> </w:t>
      </w:r>
      <w:r w:rsidRPr="00B554AF">
        <w:t>can trust.</w:t>
      </w:r>
    </w:p>
    <w:p w14:paraId="583DFCFC" w14:textId="77777777" w:rsidR="00CD7E15" w:rsidRDefault="00CD7E15" w:rsidP="008E23FC">
      <w:pPr>
        <w:pStyle w:val="CS-IBMResponseText"/>
        <w:rPr>
          <w:b/>
          <w:bCs/>
          <w:color w:val="0070C0"/>
        </w:rPr>
      </w:pPr>
    </w:p>
    <w:p w14:paraId="77A64C27" w14:textId="77777777" w:rsidR="00511DCC" w:rsidRPr="00CD7E15" w:rsidRDefault="00511DCC" w:rsidP="008E23FC">
      <w:pPr>
        <w:pStyle w:val="CS-IBMResponseText"/>
        <w:rPr>
          <w:color w:val="0070C0"/>
          <w:sz w:val="28"/>
          <w:szCs w:val="28"/>
        </w:rPr>
      </w:pPr>
      <w:r w:rsidRPr="00CD7E15">
        <w:rPr>
          <w:color w:val="0070C0"/>
          <w:sz w:val="28"/>
          <w:szCs w:val="28"/>
        </w:rPr>
        <w:t>Approach to Quality Engineering within the CalSAWS Environment</w:t>
      </w:r>
    </w:p>
    <w:p w14:paraId="41C46A55" w14:textId="77777777" w:rsidR="00511DCC" w:rsidRPr="008C0BBE" w:rsidRDefault="00511DCC" w:rsidP="008E23FC">
      <w:pPr>
        <w:pStyle w:val="CS-IBMResponseText"/>
      </w:pPr>
      <w:r w:rsidRPr="008C0BBE">
        <w:t>Our approach to QE is designed around the realities of CalSAWS—multiple vendors, 58 county operations, policy-driven releases, and the need for continuous reliability in serving Californians. Rather than treating quality as a final checkpoint, we embed it at every phase of the SDLC through five integrated practices that bring rigor, predictability, and transparency across teams.</w:t>
      </w:r>
    </w:p>
    <w:p w14:paraId="780680FB" w14:textId="77777777" w:rsidR="00511DCC" w:rsidRPr="00216AD0" w:rsidRDefault="00511DCC" w:rsidP="008E23FC">
      <w:pPr>
        <w:pStyle w:val="CS-IBMResponseText"/>
        <w:rPr>
          <w:b/>
          <w:bCs/>
        </w:rPr>
      </w:pPr>
      <w:r w:rsidRPr="00216AD0">
        <w:rPr>
          <w:b/>
          <w:bCs/>
        </w:rPr>
        <w:t>1. Shift-Left Quality Engineering</w:t>
      </w:r>
    </w:p>
    <w:p w14:paraId="2C8F282D" w14:textId="77777777" w:rsidR="00511DCC" w:rsidRPr="00B554AF" w:rsidRDefault="00511DCC" w:rsidP="008E23FC">
      <w:pPr>
        <w:pStyle w:val="CS-IBMResponseText"/>
      </w:pPr>
      <w:r w:rsidRPr="00B554AF">
        <w:t>We place QA professionals at the front of the process, where they can make the greatest impact.</w:t>
      </w:r>
    </w:p>
    <w:p w14:paraId="0B051E18" w14:textId="0BFE839F" w:rsidR="00511DCC" w:rsidRPr="00B554AF" w:rsidRDefault="00511DCC" w:rsidP="003C5B34">
      <w:pPr>
        <w:pStyle w:val="CS-IBMBullet1"/>
      </w:pPr>
      <w:r w:rsidRPr="00FD7FF1">
        <w:rPr>
          <w:b/>
          <w:bCs/>
        </w:rPr>
        <w:t xml:space="preserve">Requirements and design integration: </w:t>
      </w:r>
      <w:r w:rsidRPr="00B554AF">
        <w:t xml:space="preserve">QA participates in backlog refinement and design walkthroughs with Consortium, </w:t>
      </w:r>
      <w:r w:rsidR="002F25AB">
        <w:t>country SMEs</w:t>
      </w:r>
      <w:r w:rsidRPr="00B554AF">
        <w:t xml:space="preserve"> and </w:t>
      </w:r>
      <w:r w:rsidR="002F25AB">
        <w:t>partner vendors</w:t>
      </w:r>
      <w:r w:rsidRPr="00B554AF">
        <w:t xml:space="preserve"> to ensure requirements are clear, testable, and aligned with business rules.</w:t>
      </w:r>
    </w:p>
    <w:p w14:paraId="5E6026BB" w14:textId="77777777" w:rsidR="00511DCC" w:rsidRPr="00B554AF" w:rsidRDefault="00511DCC" w:rsidP="003C5B34">
      <w:pPr>
        <w:pStyle w:val="CS-IBMBullet1"/>
      </w:pPr>
      <w:r w:rsidRPr="00FD7FF1">
        <w:rPr>
          <w:b/>
          <w:bCs/>
        </w:rPr>
        <w:t>Structured peer and architecture reviews:</w:t>
      </w:r>
      <w:r w:rsidRPr="00B554AF">
        <w:t xml:space="preserve"> Early collaboration prevents costly rework downstream.</w:t>
      </w:r>
    </w:p>
    <w:p w14:paraId="29BAADA0" w14:textId="77777777" w:rsidR="00511DCC" w:rsidRPr="00B554AF" w:rsidRDefault="00511DCC" w:rsidP="003C5B34">
      <w:pPr>
        <w:pStyle w:val="CS-IBMBullet1"/>
      </w:pPr>
      <w:r w:rsidRPr="00FD7FF1">
        <w:rPr>
          <w:b/>
          <w:bCs/>
        </w:rPr>
        <w:t xml:space="preserve">Built-in quality gates: </w:t>
      </w:r>
      <w:r w:rsidRPr="00B554AF">
        <w:t>Automated controls within CI/CD pipelines confirm that every code commit meets predefined security, functional, and accessibility thresholds.</w:t>
      </w:r>
    </w:p>
    <w:p w14:paraId="7A2EB022" w14:textId="476798AD" w:rsidR="00511DCC" w:rsidRPr="00B554AF" w:rsidRDefault="00442B89" w:rsidP="000C7BF6">
      <w:pPr>
        <w:pStyle w:val="CS-IBMBullet1"/>
      </w:pPr>
      <w:r>
        <w:rPr>
          <w:noProof/>
        </w:rPr>
        <mc:AlternateContent>
          <mc:Choice Requires="wps">
            <w:drawing>
              <wp:anchor distT="0" distB="0" distL="114300" distR="114300" simplePos="0" relativeHeight="251658282" behindDoc="0" locked="0" layoutInCell="1" allowOverlap="1" wp14:anchorId="22E31604" wp14:editId="4172DC47">
                <wp:simplePos x="0" y="0"/>
                <wp:positionH relativeFrom="column">
                  <wp:posOffset>973455</wp:posOffset>
                </wp:positionH>
                <wp:positionV relativeFrom="paragraph">
                  <wp:posOffset>2320290</wp:posOffset>
                </wp:positionV>
                <wp:extent cx="3886200" cy="635"/>
                <wp:effectExtent l="0" t="0" r="0" b="12065"/>
                <wp:wrapTopAndBottom/>
                <wp:docPr id="1806779901" name="Text Box 1"/>
                <wp:cNvGraphicFramePr/>
                <a:graphic xmlns:a="http://schemas.openxmlformats.org/drawingml/2006/main">
                  <a:graphicData uri="http://schemas.microsoft.com/office/word/2010/wordprocessingShape">
                    <wps:wsp>
                      <wps:cNvSpPr txBox="1"/>
                      <wps:spPr>
                        <a:xfrm>
                          <a:off x="0" y="0"/>
                          <a:ext cx="3886200" cy="635"/>
                        </a:xfrm>
                        <a:prstGeom prst="rect">
                          <a:avLst/>
                        </a:prstGeom>
                        <a:solidFill>
                          <a:prstClr val="white"/>
                        </a:solidFill>
                        <a:ln>
                          <a:noFill/>
                        </a:ln>
                      </wps:spPr>
                      <wps:txbx>
                        <w:txbxContent>
                          <w:p w14:paraId="1010E8E4" w14:textId="02943054" w:rsidR="00442B89" w:rsidRPr="00833C38" w:rsidRDefault="00442B89" w:rsidP="00442B89">
                            <w:pPr>
                              <w:pStyle w:val="Caption"/>
                              <w:jc w:val="center"/>
                              <w:rPr>
                                <w:rFonts w:cs="Arial"/>
                                <w:noProof/>
                                <w:color w:val="000000" w:themeColor="text1"/>
                                <w:sz w:val="22"/>
                                <w:szCs w:val="21"/>
                              </w:rPr>
                            </w:pPr>
                            <w:bookmarkStart w:id="57" w:name="_Toc213070089"/>
                            <w:r>
                              <w:t xml:space="preserve">Figure 4.3.1. </w:t>
                            </w:r>
                            <w:r>
                              <w:fldChar w:fldCharType="begin"/>
                            </w:r>
                            <w:r>
                              <w:instrText xml:space="preserve"> SEQ Figure_4.3.1. \* ARABIC </w:instrText>
                            </w:r>
                            <w:r>
                              <w:fldChar w:fldCharType="separate"/>
                            </w:r>
                            <w:r>
                              <w:rPr>
                                <w:noProof/>
                              </w:rPr>
                              <w:t>1</w:t>
                            </w:r>
                            <w:r>
                              <w:fldChar w:fldCharType="end"/>
                            </w:r>
                            <w:r>
                              <w:t xml:space="preserve"> Shift Left Quality Engineering Lifecycle</w:t>
                            </w:r>
                            <w:bookmarkEnd w:id="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E31604" id="_x0000_s1035" type="#_x0000_t202" style="position:absolute;left:0;text-align:left;margin-left:76.65pt;margin-top:182.7pt;width:306pt;height:.05pt;z-index:25165828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" stroked="f">
                <v:textbox style="mso-fit-shape-to-text:t" inset="0,0,0,0">
                  <w:txbxContent>
                    <w:p w14:paraId="1010E8E4" w14:textId="02943054" w:rsidR="00442B89" w:rsidRPr="00833C38" w:rsidRDefault="00442B89" w:rsidP="00442B89">
                      <w:pPr>
                        <w:pStyle w:val="Caption"/>
                        <w:jc w:val="center"/>
                        <w:rPr>
                          <w:rFonts w:cs="Arial"/>
                          <w:noProof/>
                          <w:color w:val="000000" w:themeColor="text1"/>
                          <w:sz w:val="22"/>
                          <w:szCs w:val="21"/>
                        </w:rPr>
                      </w:pPr>
                      <w:bookmarkStart w:id="58" w:name="_Toc213070089"/>
                      <w:r>
                        <w:t xml:space="preserve">Figure 4.3.1. </w:t>
                      </w:r>
                      <w:r>
                        <w:fldChar w:fldCharType="begin"/>
                      </w:r>
                      <w:r>
                        <w:instrText xml:space="preserve"> SEQ Figure_4.3.1. \* ARABIC </w:instrText>
                      </w:r>
                      <w:r>
                        <w:fldChar w:fldCharType="separate"/>
                      </w:r>
                      <w:r>
                        <w:rPr>
                          <w:noProof/>
                        </w:rPr>
                        <w:t>1</w:t>
                      </w:r>
                      <w:r>
                        <w:fldChar w:fldCharType="end"/>
                      </w:r>
                      <w:r>
                        <w:t xml:space="preserve"> Shift Left Quality Engineering Lifecycle</w:t>
                      </w:r>
                      <w:bookmarkEnd w:id="58"/>
                    </w:p>
                  </w:txbxContent>
                </v:textbox>
                <w10:wrap type="topAndBottom"/>
              </v:shape>
            </w:pict>
          </mc:Fallback>
        </mc:AlternateContent>
      </w:r>
      <w:r w:rsidR="00E917FC">
        <w:rPr>
          <w:noProof/>
        </w:rPr>
        <w:drawing>
          <wp:anchor distT="0" distB="0" distL="114300" distR="114300" simplePos="0" relativeHeight="251658253" behindDoc="0" locked="0" layoutInCell="1" allowOverlap="1" wp14:anchorId="34DEC4A2" wp14:editId="285C01D9">
            <wp:simplePos x="0" y="0"/>
            <wp:positionH relativeFrom="column">
              <wp:posOffset>973835</wp:posOffset>
            </wp:positionH>
            <wp:positionV relativeFrom="paragraph">
              <wp:posOffset>672465</wp:posOffset>
            </wp:positionV>
            <wp:extent cx="3886200" cy="1590675"/>
            <wp:effectExtent l="0" t="0" r="0" b="0"/>
            <wp:wrapTopAndBottom/>
            <wp:docPr id="1850815450" name="Picture 8" descr="A diagram of design and bui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815450" name="Picture 8" descr="A diagram of design and build&#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86200" cy="1590675"/>
                    </a:xfrm>
                    <a:prstGeom prst="rect">
                      <a:avLst/>
                    </a:prstGeom>
                  </pic:spPr>
                </pic:pic>
              </a:graphicData>
            </a:graphic>
            <wp14:sizeRelH relativeFrom="page">
              <wp14:pctWidth>0</wp14:pctWidth>
            </wp14:sizeRelH>
            <wp14:sizeRelV relativeFrom="page">
              <wp14:pctHeight>0</wp14:pctHeight>
            </wp14:sizeRelV>
          </wp:anchor>
        </w:drawing>
      </w:r>
      <w:r w:rsidR="00511DCC" w:rsidRPr="00FD7FF1">
        <w:rPr>
          <w:b/>
          <w:bCs/>
        </w:rPr>
        <w:t>Continuous code validation:</w:t>
      </w:r>
      <w:r w:rsidR="00511DCC" w:rsidRPr="00B554AF">
        <w:t xml:space="preserve"> Static code analysis and automated quality checks during development ensure early feedback and steady progress toward release readiness.</w:t>
      </w:r>
    </w:p>
    <w:p w14:paraId="6C28087A" w14:textId="77777777" w:rsidR="00511DCC" w:rsidRPr="00FD7FF1" w:rsidRDefault="00511DCC" w:rsidP="008E23FC">
      <w:pPr>
        <w:pStyle w:val="CS-IBMResponseText"/>
        <w:rPr>
          <w:b/>
          <w:bCs/>
        </w:rPr>
      </w:pPr>
      <w:r w:rsidRPr="00FD7FF1">
        <w:rPr>
          <w:b/>
          <w:bCs/>
        </w:rPr>
        <w:t>2. Proactive Risk Identification</w:t>
      </w:r>
    </w:p>
    <w:p w14:paraId="56DA2189" w14:textId="77777777" w:rsidR="00511DCC" w:rsidRPr="00B554AF" w:rsidRDefault="00511DCC" w:rsidP="008E23FC">
      <w:pPr>
        <w:pStyle w:val="CS-IBMResponseText"/>
      </w:pPr>
      <w:r w:rsidRPr="00B554AF">
        <w:t>CalSAWS manages continuous policy and legislative updates that affect complex, interconnected modules. Our QE model uses data and predictive analytics to identify risk before it becomes an issue.</w:t>
      </w:r>
    </w:p>
    <w:p w14:paraId="0945704C" w14:textId="77777777" w:rsidR="00511DCC" w:rsidRPr="00B554AF" w:rsidRDefault="00511DCC" w:rsidP="00EF0851">
      <w:pPr>
        <w:pStyle w:val="CS-IBMBullet1"/>
      </w:pPr>
      <w:r w:rsidRPr="00EF0851">
        <w:rPr>
          <w:b/>
          <w:bCs/>
        </w:rPr>
        <w:lastRenderedPageBreak/>
        <w:t xml:space="preserve">Continuous Risk Management (CRM): </w:t>
      </w:r>
      <w:r w:rsidRPr="00B554AF">
        <w:t>We apply IBM’s CRM and Early Warning Framework to score change requests, modules, and user stories by complexity and business impact.</w:t>
      </w:r>
    </w:p>
    <w:p w14:paraId="47F1B9D3" w14:textId="77777777" w:rsidR="00511DCC" w:rsidRPr="00B554AF" w:rsidRDefault="00511DCC" w:rsidP="00EF0851">
      <w:pPr>
        <w:pStyle w:val="CS-IBMBullet1"/>
      </w:pPr>
      <w:r w:rsidRPr="00EF0851">
        <w:rPr>
          <w:b/>
          <w:bCs/>
        </w:rPr>
        <w:t xml:space="preserve">Predictive analytics: </w:t>
      </w:r>
      <w:r w:rsidRPr="00B554AF">
        <w:t>Historical defect data helps pinpoint modules most likely to produce regression defects.</w:t>
      </w:r>
    </w:p>
    <w:p w14:paraId="78CDDB23" w14:textId="6C58ED87" w:rsidR="00511DCC" w:rsidRDefault="00442B89" w:rsidP="000C7BF6">
      <w:pPr>
        <w:pStyle w:val="CS-IBMBullet1"/>
      </w:pPr>
      <w:r>
        <w:rPr>
          <w:noProof/>
        </w:rPr>
        <mc:AlternateContent>
          <mc:Choice Requires="wps">
            <w:drawing>
              <wp:anchor distT="0" distB="0" distL="114300" distR="114300" simplePos="0" relativeHeight="251658283" behindDoc="0" locked="0" layoutInCell="1" allowOverlap="1" wp14:anchorId="136AB39B" wp14:editId="21A5DCE0">
                <wp:simplePos x="0" y="0"/>
                <wp:positionH relativeFrom="column">
                  <wp:posOffset>1396365</wp:posOffset>
                </wp:positionH>
                <wp:positionV relativeFrom="paragraph">
                  <wp:posOffset>2329180</wp:posOffset>
                </wp:positionV>
                <wp:extent cx="2676525" cy="635"/>
                <wp:effectExtent l="0" t="0" r="3175" b="12065"/>
                <wp:wrapTopAndBottom/>
                <wp:docPr id="499885119" name="Text Box 1"/>
                <wp:cNvGraphicFramePr/>
                <a:graphic xmlns:a="http://schemas.openxmlformats.org/drawingml/2006/main">
                  <a:graphicData uri="http://schemas.microsoft.com/office/word/2010/wordprocessingShape">
                    <wps:wsp>
                      <wps:cNvSpPr txBox="1"/>
                      <wps:spPr>
                        <a:xfrm>
                          <a:off x="0" y="0"/>
                          <a:ext cx="2676525" cy="635"/>
                        </a:xfrm>
                        <a:prstGeom prst="rect">
                          <a:avLst/>
                        </a:prstGeom>
                        <a:solidFill>
                          <a:prstClr val="white"/>
                        </a:solidFill>
                        <a:ln>
                          <a:noFill/>
                        </a:ln>
                      </wps:spPr>
                      <wps:txbx>
                        <w:txbxContent>
                          <w:p w14:paraId="7456D326" w14:textId="6080AB8F" w:rsidR="00442B89" w:rsidRPr="00185AF7" w:rsidRDefault="00442B89" w:rsidP="00442B89">
                            <w:pPr>
                              <w:pStyle w:val="Caption"/>
                              <w:jc w:val="center"/>
                              <w:rPr>
                                <w:rFonts w:cs="Arial"/>
                                <w:noProof/>
                                <w:color w:val="000000" w:themeColor="text1"/>
                                <w:sz w:val="22"/>
                                <w:szCs w:val="21"/>
                              </w:rPr>
                            </w:pPr>
                            <w:bookmarkStart w:id="59" w:name="_Toc213070090"/>
                            <w:r>
                              <w:t xml:space="preserve">Figure 4.3.1. </w:t>
                            </w:r>
                            <w:r>
                              <w:fldChar w:fldCharType="begin"/>
                            </w:r>
                            <w:r>
                              <w:instrText xml:space="preserve"> SEQ Figure_4.3.1. \* ARABIC </w:instrText>
                            </w:r>
                            <w:r>
                              <w:fldChar w:fldCharType="separate"/>
                            </w:r>
                            <w:r>
                              <w:rPr>
                                <w:noProof/>
                              </w:rPr>
                              <w:t>2</w:t>
                            </w:r>
                            <w:r>
                              <w:fldChar w:fldCharType="end"/>
                            </w:r>
                            <w:r>
                              <w:t xml:space="preserve"> Risk Heat Map</w:t>
                            </w:r>
                            <w:bookmarkEnd w:id="5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6AB39B" id="_x0000_s1036" type="#_x0000_t202" style="position:absolute;left:0;text-align:left;margin-left:109.95pt;margin-top:183.4pt;width:210.75pt;height:.05pt;z-index:25165828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" stroked="f">
                <v:textbox style="mso-fit-shape-to-text:t" inset="0,0,0,0">
                  <w:txbxContent>
                    <w:p w14:paraId="7456D326" w14:textId="6080AB8F" w:rsidR="00442B89" w:rsidRPr="00185AF7" w:rsidRDefault="00442B89" w:rsidP="00442B89">
                      <w:pPr>
                        <w:pStyle w:val="Caption"/>
                        <w:jc w:val="center"/>
                        <w:rPr>
                          <w:rFonts w:cs="Arial"/>
                          <w:noProof/>
                          <w:color w:val="000000" w:themeColor="text1"/>
                          <w:sz w:val="22"/>
                          <w:szCs w:val="21"/>
                        </w:rPr>
                      </w:pPr>
                      <w:bookmarkStart w:id="60" w:name="_Toc213070090"/>
                      <w:r>
                        <w:t xml:space="preserve">Figure 4.3.1. </w:t>
                      </w:r>
                      <w:r>
                        <w:fldChar w:fldCharType="begin"/>
                      </w:r>
                      <w:r>
                        <w:instrText xml:space="preserve"> SEQ Figure_4.3.1. \* ARABIC </w:instrText>
                      </w:r>
                      <w:r>
                        <w:fldChar w:fldCharType="separate"/>
                      </w:r>
                      <w:r>
                        <w:rPr>
                          <w:noProof/>
                        </w:rPr>
                        <w:t>2</w:t>
                      </w:r>
                      <w:r>
                        <w:fldChar w:fldCharType="end"/>
                      </w:r>
                      <w:r>
                        <w:t xml:space="preserve"> Risk Heat Map</w:t>
                      </w:r>
                      <w:bookmarkEnd w:id="60"/>
                    </w:p>
                  </w:txbxContent>
                </v:textbox>
                <w10:wrap type="topAndBottom"/>
              </v:shape>
            </w:pict>
          </mc:Fallback>
        </mc:AlternateContent>
      </w:r>
      <w:r w:rsidR="00C64D45">
        <w:rPr>
          <w:noProof/>
        </w:rPr>
        <w:drawing>
          <wp:anchor distT="0" distB="0" distL="114300" distR="114300" simplePos="0" relativeHeight="251658242" behindDoc="0" locked="0" layoutInCell="1" allowOverlap="1" wp14:anchorId="06285A67" wp14:editId="77680725">
            <wp:simplePos x="0" y="0"/>
            <wp:positionH relativeFrom="column">
              <wp:posOffset>1396365</wp:posOffset>
            </wp:positionH>
            <wp:positionV relativeFrom="paragraph">
              <wp:posOffset>829310</wp:posOffset>
            </wp:positionV>
            <wp:extent cx="2676525" cy="1442720"/>
            <wp:effectExtent l="0" t="0" r="3175" b="5080"/>
            <wp:wrapTopAndBottom/>
            <wp:docPr id="103585347" name="Picture 6" descr="A colorful rectangular pattern with black bor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5347" name="Picture 6" descr="A colorful rectangular pattern with black border&#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76525" cy="1442720"/>
                    </a:xfrm>
                    <a:prstGeom prst="rect">
                      <a:avLst/>
                    </a:prstGeom>
                  </pic:spPr>
                </pic:pic>
              </a:graphicData>
            </a:graphic>
            <wp14:sizeRelH relativeFrom="page">
              <wp14:pctWidth>0</wp14:pctWidth>
            </wp14:sizeRelH>
            <wp14:sizeRelV relativeFrom="page">
              <wp14:pctHeight>0</wp14:pctHeight>
            </wp14:sizeRelV>
          </wp:anchor>
        </w:drawing>
      </w:r>
      <w:r w:rsidR="00511DCC" w:rsidRPr="00EF0851">
        <w:rPr>
          <w:b/>
          <w:bCs/>
        </w:rPr>
        <w:t xml:space="preserve">Prioritization by risk: </w:t>
      </w:r>
      <w:r w:rsidR="00511DCC" w:rsidRPr="00B554AF">
        <w:t>QA resources are focused on the most critical impacting functions, reducing the likelihood of production issues.</w:t>
      </w:r>
      <w:r w:rsidR="00511DCC" w:rsidRPr="00B554AF">
        <w:br/>
        <w:t>This “risk-forward” approach ensures that potential problems are identified months before they affect service delivery.</w:t>
      </w:r>
    </w:p>
    <w:p w14:paraId="7C0DF56C" w14:textId="77777777" w:rsidR="009C6BC7" w:rsidRPr="00B554AF" w:rsidRDefault="009C6BC7" w:rsidP="008E23FC">
      <w:pPr>
        <w:pStyle w:val="CS-IBMResponseText"/>
      </w:pPr>
    </w:p>
    <w:p w14:paraId="0C5CC95A" w14:textId="77777777" w:rsidR="00511DCC" w:rsidRPr="00EF0851" w:rsidRDefault="00511DCC" w:rsidP="008E23FC">
      <w:pPr>
        <w:pStyle w:val="CS-IBMResponseText"/>
        <w:rPr>
          <w:b/>
          <w:bCs/>
        </w:rPr>
      </w:pPr>
      <w:r w:rsidRPr="00EF0851">
        <w:rPr>
          <w:b/>
          <w:bCs/>
        </w:rPr>
        <w:t>3. Lifecycle-Wide Quality Management Plan (QMP)</w:t>
      </w:r>
    </w:p>
    <w:p w14:paraId="61C7EC92" w14:textId="4C0E1B0E" w:rsidR="0014556C" w:rsidRDefault="0014556C" w:rsidP="0014556C">
      <w:pPr>
        <w:spacing w:before="0" w:after="0"/>
        <w:rPr>
          <w:rFonts w:cs="Arial"/>
          <w:szCs w:val="21"/>
        </w:rPr>
      </w:pPr>
      <w:r w:rsidRPr="0014556C">
        <w:rPr>
          <w:rFonts w:cs="Arial"/>
          <w:szCs w:val="21"/>
        </w:rPr>
        <w:t xml:space="preserve">Consistency and discipline are essential in a multi-vendor environment. IBM’s QMP, co-developed with the Consortium, ensures that quality assurance is not an isolated </w:t>
      </w:r>
      <w:r w:rsidR="003C4703" w:rsidRPr="0014556C">
        <w:rPr>
          <w:rFonts w:cs="Arial"/>
          <w:szCs w:val="21"/>
        </w:rPr>
        <w:t>activity,</w:t>
      </w:r>
      <w:r w:rsidRPr="0014556C">
        <w:rPr>
          <w:rFonts w:cs="Arial"/>
          <w:szCs w:val="21"/>
        </w:rPr>
        <w:t xml:space="preserve"> but a unifying framework embedded throughout the CalSAWS Software Development Lifecycle (SDLC). It establishes common standards, review points, and data-driven feedback loops that guide all vendors toward shared quality outcomes.</w:t>
      </w:r>
    </w:p>
    <w:p w14:paraId="2D63C096" w14:textId="77777777" w:rsidR="0014556C" w:rsidRPr="0014556C" w:rsidRDefault="0014556C" w:rsidP="0014556C">
      <w:pPr>
        <w:spacing w:before="0" w:after="0"/>
        <w:rPr>
          <w:rFonts w:cs="Arial"/>
          <w:szCs w:val="21"/>
        </w:rPr>
      </w:pPr>
    </w:p>
    <w:p w14:paraId="4DCB7B73" w14:textId="7074F145" w:rsidR="0014556C" w:rsidRPr="0014556C" w:rsidRDefault="0014556C" w:rsidP="0014556C">
      <w:pPr>
        <w:spacing w:before="0" w:after="0"/>
        <w:rPr>
          <w:rFonts w:cs="Arial"/>
          <w:szCs w:val="21"/>
        </w:rPr>
      </w:pPr>
      <w:r w:rsidRPr="0014556C">
        <w:rPr>
          <w:rFonts w:cs="Arial"/>
          <w:b/>
          <w:bCs/>
          <w:szCs w:val="21"/>
        </w:rPr>
        <w:t>How the QMP Strengthens Collaboration and Integration Across the SDLC</w:t>
      </w:r>
      <w:r w:rsidRPr="0014556C">
        <w:rPr>
          <w:rFonts w:cs="Arial"/>
          <w:szCs w:val="21"/>
        </w:rPr>
        <w:br/>
        <w:t>The QMP aligns all participating vendors—development, M&amp;O, infrastructure, and QA</w:t>
      </w:r>
      <w:r w:rsidR="00067176">
        <w:rPr>
          <w:rFonts w:cs="Arial"/>
          <w:szCs w:val="21"/>
        </w:rPr>
        <w:t xml:space="preserve"> </w:t>
      </w:r>
      <w:r w:rsidRPr="0014556C">
        <w:rPr>
          <w:rFonts w:cs="Arial"/>
          <w:szCs w:val="21"/>
        </w:rPr>
        <w:t xml:space="preserve">around a single, governed quality model that integrates directly into the CalSAWS SDLC. Each phase of the lifecycle (Requirements → Design → Build → Test → Deploy → Operate) includes clear QA entry and exit criteria, coordinated reviews, and joint </w:t>
      </w:r>
      <w:r w:rsidR="003C4703" w:rsidRPr="0014556C">
        <w:rPr>
          <w:rFonts w:cs="Arial"/>
          <w:szCs w:val="21"/>
        </w:rPr>
        <w:t>signoffs</w:t>
      </w:r>
      <w:r w:rsidRPr="0014556C">
        <w:rPr>
          <w:rFonts w:cs="Arial"/>
          <w:szCs w:val="21"/>
        </w:rPr>
        <w:t xml:space="preserve"> involving Deloitte, Gainwell, </w:t>
      </w:r>
      <w:r w:rsidR="00CD3E93">
        <w:rPr>
          <w:rFonts w:cs="Arial"/>
          <w:szCs w:val="21"/>
        </w:rPr>
        <w:t xml:space="preserve">BenefitsCal vendor, </w:t>
      </w:r>
      <w:r w:rsidRPr="0014556C">
        <w:rPr>
          <w:rFonts w:cs="Arial"/>
          <w:szCs w:val="21"/>
        </w:rPr>
        <w:t>and the Consortium. This alignment fosters transparency, reduces handoff friction, and ensures that each partner is accountable for both their deliverables and their impact on downstream quality.</w:t>
      </w:r>
    </w:p>
    <w:p w14:paraId="124BBF86" w14:textId="77777777" w:rsidR="0014556C" w:rsidRPr="0014556C" w:rsidRDefault="0014556C" w:rsidP="0014556C">
      <w:pPr>
        <w:spacing w:before="0" w:after="0"/>
        <w:rPr>
          <w:rFonts w:cs="Arial"/>
          <w:szCs w:val="21"/>
        </w:rPr>
      </w:pPr>
      <w:r w:rsidRPr="0014556C">
        <w:rPr>
          <w:rFonts w:cs="Arial"/>
          <w:szCs w:val="21"/>
        </w:rPr>
        <w:t>Through shared dashboards, unified defect triage processes, and standardized review templates, the QMP creates one version of truth for quality metrics and readiness. This approach allows vendors to identify dependencies earlier, resolve defects collaboratively, and make evidence-based decisions about release readiness.</w:t>
      </w:r>
    </w:p>
    <w:p w14:paraId="7EFF3BDC" w14:textId="77777777" w:rsidR="0014556C" w:rsidRPr="0014556C" w:rsidRDefault="0014556C" w:rsidP="0014556C">
      <w:pPr>
        <w:spacing w:before="0" w:after="0"/>
        <w:rPr>
          <w:rFonts w:cs="Arial"/>
          <w:b/>
          <w:szCs w:val="21"/>
        </w:rPr>
      </w:pPr>
      <w:r w:rsidRPr="0014556C">
        <w:rPr>
          <w:rFonts w:cs="Arial"/>
          <w:b/>
          <w:szCs w:val="21"/>
        </w:rPr>
        <w:t>Key QMP Components</w:t>
      </w:r>
    </w:p>
    <w:p w14:paraId="20A8725E" w14:textId="77777777" w:rsidR="0014556C" w:rsidRPr="0014556C" w:rsidRDefault="0014556C" w:rsidP="00CF7600">
      <w:pPr>
        <w:numPr>
          <w:ilvl w:val="0"/>
          <w:numId w:val="46"/>
        </w:numPr>
        <w:spacing w:before="0" w:after="0"/>
        <w:rPr>
          <w:rFonts w:cs="Arial"/>
          <w:szCs w:val="21"/>
        </w:rPr>
      </w:pPr>
      <w:r w:rsidRPr="0014556C">
        <w:rPr>
          <w:rFonts w:cs="Arial"/>
          <w:szCs w:val="21"/>
        </w:rPr>
        <w:t>Quality Objectives Tied to Outcomes: Standards and KPIs are aligned with PMBOK, CMMI, ISO 9001, and CalSAWS performance measures, creating consistency across all partners.</w:t>
      </w:r>
    </w:p>
    <w:p w14:paraId="793834F8" w14:textId="77777777" w:rsidR="0014556C" w:rsidRPr="0014556C" w:rsidRDefault="0014556C" w:rsidP="00CF7600">
      <w:pPr>
        <w:numPr>
          <w:ilvl w:val="0"/>
          <w:numId w:val="46"/>
        </w:numPr>
        <w:spacing w:before="0" w:after="0"/>
        <w:rPr>
          <w:rFonts w:cs="Arial"/>
          <w:szCs w:val="21"/>
        </w:rPr>
      </w:pPr>
      <w:r w:rsidRPr="0014556C">
        <w:rPr>
          <w:rFonts w:cs="Arial"/>
          <w:szCs w:val="21"/>
        </w:rPr>
        <w:lastRenderedPageBreak/>
        <w:t>Formalized Review Cadence: Includes process, phase-gate, technical, and product reviews with multi-vendor participation, ensuring readiness and accountability at each milestone.</w:t>
      </w:r>
    </w:p>
    <w:p w14:paraId="7C551077" w14:textId="77777777" w:rsidR="0014556C" w:rsidRPr="0014556C" w:rsidRDefault="0014556C" w:rsidP="00CF7600">
      <w:pPr>
        <w:numPr>
          <w:ilvl w:val="0"/>
          <w:numId w:val="46"/>
        </w:numPr>
        <w:spacing w:before="0" w:after="0"/>
        <w:rPr>
          <w:rFonts w:cs="Arial"/>
          <w:szCs w:val="21"/>
        </w:rPr>
      </w:pPr>
      <w:r w:rsidRPr="0014556C">
        <w:rPr>
          <w:rFonts w:cs="Arial"/>
          <w:szCs w:val="21"/>
        </w:rPr>
        <w:t>Quantitative Management: Statistical tracking of Quality and Process Performance Objectives (QPPOs) informs predictive dashboards shared across all vendors.</w:t>
      </w:r>
    </w:p>
    <w:p w14:paraId="6665A787" w14:textId="77777777" w:rsidR="0014556C" w:rsidRDefault="0014556C" w:rsidP="00CF7600">
      <w:pPr>
        <w:numPr>
          <w:ilvl w:val="0"/>
          <w:numId w:val="46"/>
        </w:numPr>
        <w:spacing w:before="0" w:after="0"/>
        <w:rPr>
          <w:rFonts w:cs="Arial"/>
          <w:szCs w:val="21"/>
        </w:rPr>
      </w:pPr>
      <w:r w:rsidRPr="0014556C">
        <w:rPr>
          <w:rFonts w:cs="Arial"/>
          <w:szCs w:val="21"/>
        </w:rPr>
        <w:t>Root Cause and Corrective Actions: Continuous defect trend analysis promotes collective learning, allowing each vendor to implement corrective actions that prevent recurrence in future releases.</w:t>
      </w:r>
    </w:p>
    <w:p w14:paraId="4A233515" w14:textId="77777777" w:rsidR="0014556C" w:rsidRPr="0014556C" w:rsidRDefault="0014556C" w:rsidP="0014556C">
      <w:pPr>
        <w:spacing w:before="0" w:after="0"/>
        <w:ind w:left="360"/>
        <w:rPr>
          <w:rFonts w:cs="Arial"/>
          <w:szCs w:val="21"/>
        </w:rPr>
      </w:pPr>
    </w:p>
    <w:p w14:paraId="4E72146B" w14:textId="501622E6" w:rsidR="00511DCC" w:rsidRPr="00B554AF" w:rsidRDefault="00A82685" w:rsidP="00442B89">
      <w:pPr>
        <w:spacing w:before="0" w:after="0"/>
      </w:pPr>
      <w:r>
        <w:rPr>
          <w:noProof/>
        </w:rPr>
        <mc:AlternateContent>
          <mc:Choice Requires="wps">
            <w:drawing>
              <wp:anchor distT="0" distB="0" distL="114300" distR="114300" simplePos="0" relativeHeight="251658265" behindDoc="0" locked="0" layoutInCell="1" allowOverlap="1" wp14:anchorId="45EED0BC" wp14:editId="2CDB746F">
                <wp:simplePos x="0" y="0"/>
                <wp:positionH relativeFrom="column">
                  <wp:posOffset>1554480</wp:posOffset>
                </wp:positionH>
                <wp:positionV relativeFrom="paragraph">
                  <wp:posOffset>3561080</wp:posOffset>
                </wp:positionV>
                <wp:extent cx="2714625" cy="635"/>
                <wp:effectExtent l="0" t="0" r="3175" b="12065"/>
                <wp:wrapTopAndBottom/>
                <wp:docPr id="1587750554" name="Text Box 1"/>
                <wp:cNvGraphicFramePr/>
                <a:graphic xmlns:a="http://schemas.openxmlformats.org/drawingml/2006/main">
                  <a:graphicData uri="http://schemas.microsoft.com/office/word/2010/wordprocessingShape">
                    <wps:wsp>
                      <wps:cNvSpPr txBox="1"/>
                      <wps:spPr>
                        <a:xfrm>
                          <a:off x="0" y="0"/>
                          <a:ext cx="2714625" cy="635"/>
                        </a:xfrm>
                        <a:prstGeom prst="rect">
                          <a:avLst/>
                        </a:prstGeom>
                        <a:solidFill>
                          <a:prstClr val="white"/>
                        </a:solidFill>
                        <a:ln>
                          <a:noFill/>
                        </a:ln>
                      </wps:spPr>
                      <wps:txbx>
                        <w:txbxContent>
                          <w:p w14:paraId="280E700A" w14:textId="5D2A256B" w:rsidR="00A82685" w:rsidRPr="008E221B" w:rsidRDefault="00A82685" w:rsidP="00A82685">
                            <w:pPr>
                              <w:pStyle w:val="Caption"/>
                              <w:jc w:val="center"/>
                              <w:rPr>
                                <w:noProof/>
                                <w:color w:val="000000" w:themeColor="text1"/>
                                <w:sz w:val="22"/>
                                <w:szCs w:val="22"/>
                              </w:rPr>
                            </w:pPr>
                            <w:bookmarkStart w:id="61" w:name="_Toc213070091"/>
                            <w:r>
                              <w:t>Figure 4.3.1.</w:t>
                            </w:r>
                            <w:r w:rsidR="00FF0847" w:rsidRPr="00FF0847">
                              <w:t xml:space="preserve"> </w:t>
                            </w:r>
                            <w:r w:rsidR="00FF0847">
                              <w:fldChar w:fldCharType="begin"/>
                            </w:r>
                            <w:r w:rsidR="00FF0847">
                              <w:instrText xml:space="preserve"> SEQ Figure_4.3.1. \* ARABIC </w:instrText>
                            </w:r>
                            <w:r w:rsidR="00FF0847">
                              <w:fldChar w:fldCharType="separate"/>
                            </w:r>
                            <w:r w:rsidR="00FF0847">
                              <w:rPr>
                                <w:noProof/>
                              </w:rPr>
                              <w:t>3</w:t>
                            </w:r>
                            <w:r w:rsidR="00FF0847">
                              <w:fldChar w:fldCharType="end"/>
                            </w:r>
                            <w:r>
                              <w:t xml:space="preserve"> QMP Reviews with SDLC Phases</w:t>
                            </w:r>
                            <w:bookmarkEnd w:id="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EED0BC" id="_x0000_s1037" type="#_x0000_t202" style="position:absolute;margin-left:122.4pt;margin-top:280.4pt;width:213.75pt;height:.0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" stroked="f">
                <v:textbox style="mso-fit-shape-to-text:t" inset="0,0,0,0">
                  <w:txbxContent>
                    <w:p w14:paraId="280E700A" w14:textId="5D2A256B" w:rsidR="00A82685" w:rsidRPr="008E221B" w:rsidRDefault="00A82685" w:rsidP="00A82685">
                      <w:pPr>
                        <w:pStyle w:val="Caption"/>
                        <w:jc w:val="center"/>
                        <w:rPr>
                          <w:noProof/>
                          <w:color w:val="000000" w:themeColor="text1"/>
                          <w:sz w:val="22"/>
                          <w:szCs w:val="22"/>
                        </w:rPr>
                      </w:pPr>
                      <w:bookmarkStart w:id="62" w:name="_Toc213070091"/>
                      <w:r>
                        <w:t>Figure 4.3.1.</w:t>
                      </w:r>
                      <w:r w:rsidR="00FF0847" w:rsidRPr="00FF0847">
                        <w:t xml:space="preserve"> </w:t>
                      </w:r>
                      <w:r w:rsidR="00FF0847">
                        <w:fldChar w:fldCharType="begin"/>
                      </w:r>
                      <w:r w:rsidR="00FF0847">
                        <w:instrText xml:space="preserve"> SEQ Figure_4.3.1. \* ARABIC </w:instrText>
                      </w:r>
                      <w:r w:rsidR="00FF0847">
                        <w:fldChar w:fldCharType="separate"/>
                      </w:r>
                      <w:r w:rsidR="00FF0847">
                        <w:rPr>
                          <w:noProof/>
                        </w:rPr>
                        <w:t>3</w:t>
                      </w:r>
                      <w:r w:rsidR="00FF0847">
                        <w:fldChar w:fldCharType="end"/>
                      </w:r>
                      <w:r>
                        <w:t xml:space="preserve"> QMP Reviews with SDLC Phases</w:t>
                      </w:r>
                      <w:bookmarkEnd w:id="62"/>
                    </w:p>
                  </w:txbxContent>
                </v:textbox>
                <w10:wrap type="topAndBottom"/>
              </v:shape>
            </w:pict>
          </mc:Fallback>
        </mc:AlternateContent>
      </w:r>
      <w:r>
        <w:rPr>
          <w:noProof/>
        </w:rPr>
        <w:drawing>
          <wp:anchor distT="0" distB="0" distL="114300" distR="114300" simplePos="0" relativeHeight="251658256" behindDoc="0" locked="0" layoutInCell="1" allowOverlap="1" wp14:anchorId="7A5DA23F" wp14:editId="032EB624">
            <wp:simplePos x="0" y="0"/>
            <wp:positionH relativeFrom="column">
              <wp:posOffset>1555050</wp:posOffset>
            </wp:positionH>
            <wp:positionV relativeFrom="paragraph">
              <wp:posOffset>1297625</wp:posOffset>
            </wp:positionV>
            <wp:extent cx="2714625" cy="2206625"/>
            <wp:effectExtent l="0" t="0" r="0" b="3175"/>
            <wp:wrapTopAndBottom/>
            <wp:docPr id="1394186496" name="Picture 10" descr="A diagram of quality manag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86496" name="Picture 10" descr="A diagram of quality management&#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14625" cy="2206625"/>
                    </a:xfrm>
                    <a:prstGeom prst="rect">
                      <a:avLst/>
                    </a:prstGeom>
                  </pic:spPr>
                </pic:pic>
              </a:graphicData>
            </a:graphic>
            <wp14:sizeRelH relativeFrom="page">
              <wp14:pctWidth>0</wp14:pctWidth>
            </wp14:sizeRelH>
            <wp14:sizeRelV relativeFrom="page">
              <wp14:pctHeight>0</wp14:pctHeight>
            </wp14:sizeRelV>
          </wp:anchor>
        </w:drawing>
      </w:r>
      <w:r w:rsidR="0014556C" w:rsidRPr="0014556C">
        <w:rPr>
          <w:rFonts w:cs="Arial"/>
          <w:b/>
          <w:bCs/>
          <w:szCs w:val="21"/>
        </w:rPr>
        <w:t>Value for CalSAWS</w:t>
      </w:r>
      <w:r w:rsidR="0014556C" w:rsidRPr="0014556C">
        <w:rPr>
          <w:rFonts w:cs="Arial"/>
          <w:szCs w:val="21"/>
        </w:rPr>
        <w:br/>
        <w:t>By embedding quality into every phase of the SDLC and establishing shared quality ownership across vendors, the QMP strengthens alignment, accelerates delivery, and reduces rework. Consortium and vendor personnel gain a shared understanding of quality standards, processes, and governance expectations—resulting in improved coordination, faster resolution of cross-system issues, and measurable improvements in CalSAWS and BenefitsCal performance.</w:t>
      </w:r>
    </w:p>
    <w:p w14:paraId="0986327A" w14:textId="77777777" w:rsidR="00511DCC" w:rsidRPr="00A53868" w:rsidRDefault="00511DCC" w:rsidP="008E23FC">
      <w:pPr>
        <w:pStyle w:val="CS-IBMResponseText"/>
        <w:rPr>
          <w:b/>
          <w:bCs/>
        </w:rPr>
      </w:pPr>
      <w:r w:rsidRPr="00A53868">
        <w:rPr>
          <w:b/>
          <w:bCs/>
        </w:rPr>
        <w:t>4. Independent Reviews and Assurance</w:t>
      </w:r>
    </w:p>
    <w:p w14:paraId="7C4B317B" w14:textId="77777777" w:rsidR="00511DCC" w:rsidRPr="00B554AF" w:rsidRDefault="00511DCC" w:rsidP="008E23FC">
      <w:pPr>
        <w:pStyle w:val="CS-IBMResponseText"/>
      </w:pPr>
      <w:r w:rsidRPr="00B554AF">
        <w:t>True independence is central to effective QA. Our QE specialists and SMEs conduct reviews, audits, and assessments independently from development and integration activities.</w:t>
      </w:r>
    </w:p>
    <w:p w14:paraId="6BB6409B" w14:textId="77777777" w:rsidR="00511DCC" w:rsidRPr="00B554AF" w:rsidRDefault="00511DCC" w:rsidP="00D57EE5">
      <w:pPr>
        <w:pStyle w:val="CS-IBMBullet1"/>
      </w:pPr>
      <w:r w:rsidRPr="00D57EE5">
        <w:rPr>
          <w:b/>
          <w:bCs/>
        </w:rPr>
        <w:t xml:space="preserve">Compliance validation: </w:t>
      </w:r>
      <w:r w:rsidRPr="00B554AF">
        <w:t>Audits against CMMI, PMI PMBOK, and ISO 9001 standards.</w:t>
      </w:r>
    </w:p>
    <w:p w14:paraId="49D95D24" w14:textId="77777777" w:rsidR="00511DCC" w:rsidRPr="00B554AF" w:rsidRDefault="00511DCC" w:rsidP="00D57EE5">
      <w:pPr>
        <w:pStyle w:val="CS-IBMBullet1"/>
      </w:pPr>
      <w:r w:rsidRPr="00D57EE5">
        <w:rPr>
          <w:b/>
          <w:bCs/>
        </w:rPr>
        <w:t xml:space="preserve">Unbiased insight: </w:t>
      </w:r>
      <w:r w:rsidRPr="00B554AF">
        <w:t>Real-time recommendations enable early course correction before issues escalate. This independent assurance builds confidence in system readiness and protects the integrity of Consortium decision-making.</w:t>
      </w:r>
    </w:p>
    <w:p w14:paraId="7BF62F75" w14:textId="77777777" w:rsidR="00511DCC" w:rsidRPr="00D57EE5" w:rsidRDefault="00511DCC" w:rsidP="008E23FC">
      <w:pPr>
        <w:pStyle w:val="CS-IBMResponseText"/>
        <w:rPr>
          <w:b/>
          <w:bCs/>
        </w:rPr>
      </w:pPr>
      <w:r w:rsidRPr="00D57EE5">
        <w:rPr>
          <w:b/>
          <w:bCs/>
        </w:rPr>
        <w:t>5. Continuous Improvement</w:t>
      </w:r>
    </w:p>
    <w:p w14:paraId="2E879291" w14:textId="77777777" w:rsidR="00511DCC" w:rsidRPr="00B554AF" w:rsidRDefault="00511DCC" w:rsidP="008E23FC">
      <w:pPr>
        <w:pStyle w:val="CS-IBMResponseText"/>
      </w:pPr>
      <w:r w:rsidRPr="00B554AF">
        <w:t>Each CalSAWS release provides data that informs the next.</w:t>
      </w:r>
    </w:p>
    <w:p w14:paraId="220E9048" w14:textId="1175DCA9" w:rsidR="00511DCC" w:rsidRPr="00B554AF" w:rsidRDefault="00511DCC" w:rsidP="00551A7C">
      <w:pPr>
        <w:pStyle w:val="CS-IBMBullet1"/>
      </w:pPr>
      <w:r w:rsidRPr="00551A7C">
        <w:rPr>
          <w:b/>
          <w:bCs/>
        </w:rPr>
        <w:t xml:space="preserve">Lessons learned and metrics analysis: </w:t>
      </w:r>
      <w:r w:rsidRPr="00B554AF">
        <w:t xml:space="preserve">Every release cycle feeds quantitative results back into QA planning and to the </w:t>
      </w:r>
      <w:r w:rsidR="00047D00" w:rsidRPr="00B554AF">
        <w:t>Consortium</w:t>
      </w:r>
      <w:r w:rsidRPr="00B554AF">
        <w:t xml:space="preserve"> as a whole, resulting in continuous improvement throughout the CalSAWS and BenefitsCal SDLC lifecycle processes</w:t>
      </w:r>
    </w:p>
    <w:p w14:paraId="23C1D833" w14:textId="77777777" w:rsidR="00511DCC" w:rsidRPr="00B554AF" w:rsidRDefault="00511DCC" w:rsidP="00551A7C">
      <w:pPr>
        <w:pStyle w:val="CS-IBMBullet1"/>
      </w:pPr>
      <w:r w:rsidRPr="00551A7C">
        <w:rPr>
          <w:b/>
          <w:bCs/>
        </w:rPr>
        <w:lastRenderedPageBreak/>
        <w:t>Framework refinement:</w:t>
      </w:r>
      <w:r w:rsidRPr="00B554AF">
        <w:t xml:space="preserve"> Tools and standards evolve annually to reflect lessons learned and technology advances.</w:t>
      </w:r>
    </w:p>
    <w:p w14:paraId="5E8FDF49" w14:textId="77777777" w:rsidR="00511DCC" w:rsidRPr="00B554AF" w:rsidRDefault="00511DCC" w:rsidP="00551A7C">
      <w:pPr>
        <w:pStyle w:val="CS-IBMBullet1"/>
      </w:pPr>
      <w:r w:rsidRPr="00551A7C">
        <w:rPr>
          <w:b/>
          <w:bCs/>
        </w:rPr>
        <w:t>Capability growth:</w:t>
      </w:r>
      <w:r w:rsidRPr="00B554AF">
        <w:t xml:space="preserve"> Staff participate in continuous learning programs to stay ahead of emerging trends, from AI-enabled validation to cloud-native QA.</w:t>
      </w:r>
    </w:p>
    <w:p w14:paraId="4B422366" w14:textId="68E53B94" w:rsidR="0012794E" w:rsidRPr="00442B89" w:rsidRDefault="00A82685" w:rsidP="008E23FC">
      <w:pPr>
        <w:pStyle w:val="CS-IBMResponseText"/>
      </w:pPr>
      <w:r>
        <w:rPr>
          <w:noProof/>
        </w:rPr>
        <mc:AlternateContent>
          <mc:Choice Requires="wps">
            <w:drawing>
              <wp:anchor distT="0" distB="0" distL="114300" distR="114300" simplePos="0" relativeHeight="251658266" behindDoc="0" locked="0" layoutInCell="1" allowOverlap="1" wp14:anchorId="35C5BD3C" wp14:editId="0C584B16">
                <wp:simplePos x="0" y="0"/>
                <wp:positionH relativeFrom="column">
                  <wp:posOffset>1630680</wp:posOffset>
                </wp:positionH>
                <wp:positionV relativeFrom="paragraph">
                  <wp:posOffset>3242310</wp:posOffset>
                </wp:positionV>
                <wp:extent cx="2781300" cy="635"/>
                <wp:effectExtent l="0" t="0" r="0" b="0"/>
                <wp:wrapTopAndBottom/>
                <wp:docPr id="1500295235" name="Text Box 1"/>
                <wp:cNvGraphicFramePr/>
                <a:graphic xmlns:a="http://schemas.openxmlformats.org/drawingml/2006/main">
                  <a:graphicData uri="http://schemas.microsoft.com/office/word/2010/wordprocessingShape">
                    <wps:wsp>
                      <wps:cNvSpPr txBox="1"/>
                      <wps:spPr>
                        <a:xfrm>
                          <a:off x="0" y="0"/>
                          <a:ext cx="2781300" cy="635"/>
                        </a:xfrm>
                        <a:prstGeom prst="rect">
                          <a:avLst/>
                        </a:prstGeom>
                        <a:solidFill>
                          <a:prstClr val="white"/>
                        </a:solidFill>
                        <a:ln>
                          <a:noFill/>
                        </a:ln>
                      </wps:spPr>
                      <wps:txbx>
                        <w:txbxContent>
                          <w:p w14:paraId="3469B142" w14:textId="4F4FF2E0" w:rsidR="00A82685" w:rsidRPr="004C7718" w:rsidRDefault="00A82685" w:rsidP="00A82685">
                            <w:pPr>
                              <w:pStyle w:val="Caption"/>
                              <w:jc w:val="center"/>
                              <w:rPr>
                                <w:rFonts w:cs="Arial"/>
                                <w:noProof/>
                                <w:color w:val="0D0D0D" w:themeColor="text1" w:themeTint="F2"/>
                                <w:sz w:val="22"/>
                                <w:szCs w:val="21"/>
                              </w:rPr>
                            </w:pPr>
                            <w:bookmarkStart w:id="63" w:name="_Toc213070092"/>
                            <w:r>
                              <w:t>Figure 4.3.1.</w:t>
                            </w:r>
                            <w:r w:rsidR="00FF0847" w:rsidRPr="00FF0847">
                              <w:t xml:space="preserve"> </w:t>
                            </w:r>
                            <w:r w:rsidR="00FF0847">
                              <w:fldChar w:fldCharType="begin"/>
                            </w:r>
                            <w:r w:rsidR="00FF0847">
                              <w:instrText xml:space="preserve"> SEQ Figure_4.3.1. \* ARABIC </w:instrText>
                            </w:r>
                            <w:r w:rsidR="00FF0847">
                              <w:fldChar w:fldCharType="separate"/>
                            </w:r>
                            <w:r w:rsidR="00FF0847">
                              <w:rPr>
                                <w:noProof/>
                              </w:rPr>
                              <w:t>4</w:t>
                            </w:r>
                            <w:r w:rsidR="00FF0847">
                              <w:fldChar w:fldCharType="end"/>
                            </w:r>
                            <w:r>
                              <w:t xml:space="preserve"> </w:t>
                            </w:r>
                            <w:r>
                              <w:fldChar w:fldCharType="begin"/>
                            </w:r>
                            <w:r>
                              <w:instrText xml:space="preserve"> SEQ Figure_4.3.1. \* ARABIC </w:instrText>
                            </w:r>
                            <w:r>
                              <w:fldChar w:fldCharType="separate"/>
                            </w:r>
                            <w:r>
                              <w:fldChar w:fldCharType="end"/>
                            </w:r>
                            <w:r>
                              <w:t xml:space="preserve"> Continuous Improvement Loop</w:t>
                            </w:r>
                            <w:bookmarkEnd w:id="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5C5BD3C" id="_x0000_s1038" type="#_x0000_t202" style="position:absolute;margin-left:128.4pt;margin-top:255.3pt;width:219pt;height:.05pt;z-index:25165826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" stroked="f">
                <v:textbox style="mso-fit-shape-to-text:t" inset="0,0,0,0">
                  <w:txbxContent>
                    <w:p w14:paraId="3469B142" w14:textId="4F4FF2E0" w:rsidR="00A82685" w:rsidRPr="004C7718" w:rsidRDefault="00A82685" w:rsidP="00A82685">
                      <w:pPr>
                        <w:pStyle w:val="Caption"/>
                        <w:jc w:val="center"/>
                        <w:rPr>
                          <w:rFonts w:cs="Arial"/>
                          <w:noProof/>
                          <w:color w:val="0D0D0D" w:themeColor="text1" w:themeTint="F2"/>
                          <w:sz w:val="22"/>
                          <w:szCs w:val="21"/>
                        </w:rPr>
                      </w:pPr>
                      <w:bookmarkStart w:id="64" w:name="_Toc213070092"/>
                      <w:r>
                        <w:t>Figure 4.3.1.</w:t>
                      </w:r>
                      <w:r w:rsidR="00FF0847" w:rsidRPr="00FF0847">
                        <w:t xml:space="preserve"> </w:t>
                      </w:r>
                      <w:r w:rsidR="00FF0847">
                        <w:fldChar w:fldCharType="begin"/>
                      </w:r>
                      <w:r w:rsidR="00FF0847">
                        <w:instrText xml:space="preserve"> SEQ Figure_4.3.1. \* ARABIC </w:instrText>
                      </w:r>
                      <w:r w:rsidR="00FF0847">
                        <w:fldChar w:fldCharType="separate"/>
                      </w:r>
                      <w:r w:rsidR="00FF0847">
                        <w:rPr>
                          <w:noProof/>
                        </w:rPr>
                        <w:t>4</w:t>
                      </w:r>
                      <w:r w:rsidR="00FF0847">
                        <w:fldChar w:fldCharType="end"/>
                      </w:r>
                      <w:r>
                        <w:t xml:space="preserve"> </w:t>
                      </w:r>
                      <w:r>
                        <w:fldChar w:fldCharType="begin"/>
                      </w:r>
                      <w:r>
                        <w:instrText xml:space="preserve"> SEQ Figure_4.3.1. \* ARABIC </w:instrText>
                      </w:r>
                      <w:r>
                        <w:fldChar w:fldCharType="separate"/>
                      </w:r>
                      <w:r>
                        <w:fldChar w:fldCharType="end"/>
                      </w:r>
                      <w:r>
                        <w:t xml:space="preserve"> Continuous Improvement Loop</w:t>
                      </w:r>
                      <w:bookmarkEnd w:id="64"/>
                    </w:p>
                  </w:txbxContent>
                </v:textbox>
                <w10:wrap type="topAndBottom"/>
              </v:shape>
            </w:pict>
          </mc:Fallback>
        </mc:AlternateContent>
      </w:r>
      <w:r w:rsidR="00C64D45">
        <w:rPr>
          <w:noProof/>
        </w:rPr>
        <w:drawing>
          <wp:anchor distT="0" distB="0" distL="114300" distR="114300" simplePos="0" relativeHeight="251658254" behindDoc="0" locked="0" layoutInCell="1" allowOverlap="1" wp14:anchorId="021735FA" wp14:editId="27AF3CC8">
            <wp:simplePos x="0" y="0"/>
            <wp:positionH relativeFrom="column">
              <wp:posOffset>1632565</wp:posOffset>
            </wp:positionH>
            <wp:positionV relativeFrom="paragraph">
              <wp:posOffset>675640</wp:posOffset>
            </wp:positionV>
            <wp:extent cx="2498090" cy="2508885"/>
            <wp:effectExtent l="0" t="0" r="3810" b="5715"/>
            <wp:wrapTopAndBottom/>
            <wp:docPr id="681850146" name="Picture 3" descr="A circular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50146" name="Picture 3" descr="A circular diagram of a process&#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98090" cy="2508885"/>
                    </a:xfrm>
                    <a:prstGeom prst="rect">
                      <a:avLst/>
                    </a:prstGeom>
                  </pic:spPr>
                </pic:pic>
              </a:graphicData>
            </a:graphic>
            <wp14:sizeRelH relativeFrom="page">
              <wp14:pctWidth>0</wp14:pctWidth>
            </wp14:sizeRelH>
            <wp14:sizeRelV relativeFrom="page">
              <wp14:pctHeight>0</wp14:pctHeight>
            </wp14:sizeRelV>
          </wp:anchor>
        </w:drawing>
      </w:r>
      <w:r w:rsidR="00511DCC" w:rsidRPr="00B554AF">
        <w:t>This continuous improvement loop helps to provide continuous improvement to CalSAWS’ QA processes, and helps CalSAWS to remain adaptive, resilient, and aligned to its long-term modernization vision.</w:t>
      </w:r>
    </w:p>
    <w:p w14:paraId="113925CB" w14:textId="33A7E67D" w:rsidR="00511DCC" w:rsidRPr="00CD7E15" w:rsidRDefault="00511DCC" w:rsidP="008E23FC">
      <w:pPr>
        <w:pStyle w:val="CS-IBMResponseText"/>
        <w:rPr>
          <w:color w:val="0070C0"/>
          <w:sz w:val="28"/>
          <w:szCs w:val="28"/>
        </w:rPr>
      </w:pPr>
      <w:r w:rsidRPr="00CD7E15">
        <w:rPr>
          <w:color w:val="0070C0"/>
          <w:sz w:val="28"/>
          <w:szCs w:val="28"/>
        </w:rPr>
        <w:t>Operational Staffing Model</w:t>
      </w:r>
    </w:p>
    <w:p w14:paraId="586B92D8" w14:textId="77777777" w:rsidR="00511DCC" w:rsidRPr="00B554AF" w:rsidRDefault="00511DCC" w:rsidP="008E23FC">
      <w:pPr>
        <w:pStyle w:val="CS-IBMResponseText"/>
      </w:pPr>
      <w:r w:rsidRPr="00B554AF">
        <w:t>Our delivery model combines onsite leadership with scalable nearshore capacity to ensure consistent collaboration, rapid scalability, and long-term stability.</w:t>
      </w:r>
    </w:p>
    <w:p w14:paraId="31ED47DB" w14:textId="6EA0212C" w:rsidR="00511DCC" w:rsidRPr="00B554AF" w:rsidRDefault="00511DCC" w:rsidP="0029116A">
      <w:pPr>
        <w:pStyle w:val="CS-IBMBullet1"/>
      </w:pPr>
      <w:r w:rsidRPr="007A6EA5">
        <w:rPr>
          <w:b/>
          <w:bCs/>
        </w:rPr>
        <w:t xml:space="preserve">Onsite in </w:t>
      </w:r>
      <w:r w:rsidR="008A3F6C">
        <w:rPr>
          <w:b/>
          <w:bCs/>
        </w:rPr>
        <w:t>Gold River</w:t>
      </w:r>
      <w:r w:rsidRPr="007A6EA5">
        <w:rPr>
          <w:b/>
          <w:bCs/>
        </w:rPr>
        <w:t xml:space="preserve">: </w:t>
      </w:r>
      <w:r w:rsidRPr="00B554AF">
        <w:t>QA leadership roles are co</w:t>
      </w:r>
      <w:r w:rsidR="003A085B">
        <w:t>-</w:t>
      </w:r>
      <w:r w:rsidRPr="00B554AF">
        <w:t>located with the Consortium to participate directly in governance, sprint planning, and day-to-day coordination with CalSAWS and county stakeholders.</w:t>
      </w:r>
    </w:p>
    <w:p w14:paraId="76EA58CC" w14:textId="77777777" w:rsidR="00511DCC" w:rsidRPr="00B554AF" w:rsidRDefault="00511DCC" w:rsidP="0029116A">
      <w:pPr>
        <w:pStyle w:val="CS-IBMBullet1"/>
      </w:pPr>
      <w:r w:rsidRPr="007A6EA5">
        <w:rPr>
          <w:b/>
          <w:bCs/>
        </w:rPr>
        <w:t xml:space="preserve">Nearshore CIC Surge Pods (Lansing, MI): </w:t>
      </w:r>
      <w:r w:rsidRPr="00B554AF">
        <w:t>U.S.-based automation, performance, and security engineers provide elastic capacity, scaling by 30–40% within weeks to meet policy or legislative deadlines.</w:t>
      </w:r>
    </w:p>
    <w:p w14:paraId="175D8BD0" w14:textId="10638402" w:rsidR="00511DCC" w:rsidRPr="00B554AF" w:rsidRDefault="00511DCC" w:rsidP="0029116A">
      <w:pPr>
        <w:pStyle w:val="CS-IBMBullet1"/>
      </w:pPr>
      <w:r w:rsidRPr="007A6EA5">
        <w:rPr>
          <w:b/>
          <w:bCs/>
        </w:rPr>
        <w:t xml:space="preserve">Blended Ratio: </w:t>
      </w:r>
      <w:r w:rsidRPr="00B554AF">
        <w:t xml:space="preserve">Year 1 begins at approximately </w:t>
      </w:r>
      <w:r w:rsidR="008248D9">
        <w:t>40</w:t>
      </w:r>
      <w:r w:rsidRPr="00B554AF">
        <w:t xml:space="preserve">% onsite / </w:t>
      </w:r>
      <w:r w:rsidR="008248D9">
        <w:t>60</w:t>
      </w:r>
      <w:r w:rsidRPr="00B554AF">
        <w:t>% nearshore, transitioning to 2</w:t>
      </w:r>
      <w:r w:rsidR="008248D9">
        <w:t>5</w:t>
      </w:r>
      <w:r w:rsidRPr="00B554AF">
        <w:t xml:space="preserve">% onsite / </w:t>
      </w:r>
      <w:r w:rsidR="008248D9">
        <w:t>75</w:t>
      </w:r>
      <w:r w:rsidRPr="00B554AF">
        <w:t>% nearshore by Year 6 for optimized cost and delivery efficiency.</w:t>
      </w:r>
    </w:p>
    <w:p w14:paraId="7AC96E38" w14:textId="77777777" w:rsidR="00511DCC" w:rsidRPr="00B554AF" w:rsidRDefault="00511DCC" w:rsidP="0029116A">
      <w:pPr>
        <w:pStyle w:val="CS-IBMBullet1"/>
      </w:pPr>
      <w:r w:rsidRPr="007A6EA5">
        <w:rPr>
          <w:b/>
          <w:bCs/>
        </w:rPr>
        <w:t xml:space="preserve">Knowledge Continuity: </w:t>
      </w:r>
      <w:r w:rsidRPr="00B554AF">
        <w:t>Structured documentation, shadowing, and succession planning maintain institutional knowledge and ensure 95%+ retention, minimizing disruption and preserving QA expertise across releases.</w:t>
      </w:r>
    </w:p>
    <w:p w14:paraId="503B4D55" w14:textId="2492A4C1" w:rsidR="00511DCC" w:rsidRPr="00B554AF" w:rsidRDefault="00511DCC" w:rsidP="008E23FC">
      <w:pPr>
        <w:pStyle w:val="CS-IBMBullet1"/>
      </w:pPr>
      <w:r w:rsidRPr="00B554AF">
        <w:t>This blended model provides the Consortium with a predictable, scalable workforce that balances local presence, deep program familiarity, and cost efficiency.</w:t>
      </w:r>
    </w:p>
    <w:p w14:paraId="3CCACC18" w14:textId="193BAB44" w:rsidR="00A82685" w:rsidRPr="00B554AF" w:rsidRDefault="00442B89" w:rsidP="00A82685">
      <w:pPr>
        <w:pStyle w:val="CS-IBMBullet1"/>
        <w:numPr>
          <w:ilvl w:val="0"/>
          <w:numId w:val="0"/>
        </w:numPr>
        <w:ind w:left="360" w:hanging="360"/>
      </w:pPr>
      <w:r>
        <w:rPr>
          <w:noProof/>
        </w:rPr>
        <w:lastRenderedPageBreak/>
        <mc:AlternateContent>
          <mc:Choice Requires="wps">
            <w:drawing>
              <wp:anchor distT="0" distB="0" distL="114300" distR="114300" simplePos="0" relativeHeight="251658267" behindDoc="0" locked="0" layoutInCell="1" allowOverlap="1" wp14:anchorId="35B7E7E6" wp14:editId="42A53EF2">
                <wp:simplePos x="0" y="0"/>
                <wp:positionH relativeFrom="column">
                  <wp:posOffset>1331595</wp:posOffset>
                </wp:positionH>
                <wp:positionV relativeFrom="paragraph">
                  <wp:posOffset>1748155</wp:posOffset>
                </wp:positionV>
                <wp:extent cx="3082925" cy="635"/>
                <wp:effectExtent l="0" t="0" r="3175" b="12065"/>
                <wp:wrapTopAndBottom/>
                <wp:docPr id="1542295257" name="Text Box 1"/>
                <wp:cNvGraphicFramePr/>
                <a:graphic xmlns:a="http://schemas.openxmlformats.org/drawingml/2006/main">
                  <a:graphicData uri="http://schemas.microsoft.com/office/word/2010/wordprocessingShape">
                    <wps:wsp>
                      <wps:cNvSpPr txBox="1"/>
                      <wps:spPr>
                        <a:xfrm>
                          <a:off x="0" y="0"/>
                          <a:ext cx="3082925" cy="635"/>
                        </a:xfrm>
                        <a:prstGeom prst="rect">
                          <a:avLst/>
                        </a:prstGeom>
                        <a:solidFill>
                          <a:prstClr val="white"/>
                        </a:solidFill>
                        <a:ln>
                          <a:noFill/>
                        </a:ln>
                      </wps:spPr>
                      <wps:txbx>
                        <w:txbxContent>
                          <w:p w14:paraId="3EFFFECE" w14:textId="0F1BE973" w:rsidR="00A82685" w:rsidRPr="00B50754" w:rsidRDefault="00A82685" w:rsidP="00442B89">
                            <w:pPr>
                              <w:pStyle w:val="Caption"/>
                              <w:jc w:val="center"/>
                              <w:rPr>
                                <w:rFonts w:cs="Arial"/>
                                <w:noProof/>
                                <w:color w:val="0D0D0D" w:themeColor="text1" w:themeTint="F2"/>
                                <w:sz w:val="22"/>
                                <w:szCs w:val="21"/>
                              </w:rPr>
                            </w:pPr>
                            <w:bookmarkStart w:id="65" w:name="_Toc213070093"/>
                            <w:r>
                              <w:t xml:space="preserve">Figure 4.3.1. </w:t>
                            </w:r>
                            <w:r>
                              <w:fldChar w:fldCharType="begin"/>
                            </w:r>
                            <w:r>
                              <w:instrText xml:space="preserve"> SEQ Figure_4.3.1. \* ARABIC </w:instrText>
                            </w:r>
                            <w:r>
                              <w:fldChar w:fldCharType="separate"/>
                            </w:r>
                            <w:r w:rsidR="00442B89">
                              <w:rPr>
                                <w:noProof/>
                              </w:rPr>
                              <w:t>5</w:t>
                            </w:r>
                            <w:r>
                              <w:fldChar w:fldCharType="end"/>
                            </w:r>
                            <w:r>
                              <w:t xml:space="preserve"> Staffing Optimization Model</w:t>
                            </w:r>
                            <w:bookmarkEnd w:id="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B7E7E6" id="_x0000_s1039" type="#_x0000_t202" style="position:absolute;left:0;text-align:left;margin-left:104.85pt;margin-top:137.65pt;width:242.75pt;height:.05pt;z-index:2516582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" stroked="f">
                <v:textbox style="mso-fit-shape-to-text:t" inset="0,0,0,0">
                  <w:txbxContent>
                    <w:p w14:paraId="3EFFFECE" w14:textId="0F1BE973" w:rsidR="00A82685" w:rsidRPr="00B50754" w:rsidRDefault="00A82685" w:rsidP="00442B89">
                      <w:pPr>
                        <w:pStyle w:val="Caption"/>
                        <w:jc w:val="center"/>
                        <w:rPr>
                          <w:rFonts w:cs="Arial"/>
                          <w:noProof/>
                          <w:color w:val="0D0D0D" w:themeColor="text1" w:themeTint="F2"/>
                          <w:sz w:val="22"/>
                          <w:szCs w:val="21"/>
                        </w:rPr>
                      </w:pPr>
                      <w:bookmarkStart w:id="66" w:name="_Toc213070093"/>
                      <w:r>
                        <w:t xml:space="preserve">Figure 4.3.1. </w:t>
                      </w:r>
                      <w:r>
                        <w:fldChar w:fldCharType="begin"/>
                      </w:r>
                      <w:r>
                        <w:instrText xml:space="preserve"> SEQ Figure_4.3.1. \* ARABIC </w:instrText>
                      </w:r>
                      <w:r>
                        <w:fldChar w:fldCharType="separate"/>
                      </w:r>
                      <w:r w:rsidR="00442B89">
                        <w:rPr>
                          <w:noProof/>
                        </w:rPr>
                        <w:t>5</w:t>
                      </w:r>
                      <w:r>
                        <w:fldChar w:fldCharType="end"/>
                      </w:r>
                      <w:r>
                        <w:t xml:space="preserve"> Staffing Optimization Model</w:t>
                      </w:r>
                      <w:bookmarkEnd w:id="66"/>
                    </w:p>
                  </w:txbxContent>
                </v:textbox>
                <w10:wrap type="topAndBottom"/>
              </v:shape>
            </w:pict>
          </mc:Fallback>
        </mc:AlternateContent>
      </w:r>
      <w:r>
        <w:rPr>
          <w:noProof/>
        </w:rPr>
        <w:drawing>
          <wp:anchor distT="0" distB="0" distL="114300" distR="114300" simplePos="0" relativeHeight="251658255" behindDoc="0" locked="0" layoutInCell="1" allowOverlap="1" wp14:anchorId="5FDD52FC" wp14:editId="7BD8AE57">
            <wp:simplePos x="0" y="0"/>
            <wp:positionH relativeFrom="column">
              <wp:posOffset>1715135</wp:posOffset>
            </wp:positionH>
            <wp:positionV relativeFrom="paragraph">
              <wp:posOffset>184150</wp:posOffset>
            </wp:positionV>
            <wp:extent cx="2327910" cy="1491615"/>
            <wp:effectExtent l="0" t="0" r="0" b="0"/>
            <wp:wrapTopAndBottom/>
            <wp:docPr id="3702842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284260" name="Picture 37028426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27910" cy="1491615"/>
                    </a:xfrm>
                    <a:prstGeom prst="rect">
                      <a:avLst/>
                    </a:prstGeom>
                  </pic:spPr>
                </pic:pic>
              </a:graphicData>
            </a:graphic>
            <wp14:sizeRelH relativeFrom="page">
              <wp14:pctWidth>0</wp14:pctWidth>
            </wp14:sizeRelH>
            <wp14:sizeRelV relativeFrom="page">
              <wp14:pctHeight>0</wp14:pctHeight>
            </wp14:sizeRelV>
          </wp:anchor>
        </w:drawing>
      </w:r>
    </w:p>
    <w:p w14:paraId="0E12A65A" w14:textId="77777777" w:rsidR="00511DCC" w:rsidRPr="00CD7E15" w:rsidRDefault="00511DCC" w:rsidP="008E23FC">
      <w:pPr>
        <w:pStyle w:val="CS-IBMResponseText"/>
        <w:rPr>
          <w:color w:val="0070C0"/>
          <w:sz w:val="28"/>
          <w:szCs w:val="28"/>
        </w:rPr>
      </w:pPr>
      <w:r w:rsidRPr="00CD7E15">
        <w:rPr>
          <w:color w:val="0070C0"/>
          <w:sz w:val="28"/>
          <w:szCs w:val="28"/>
        </w:rPr>
        <w:t>Tools and Accelerators</w:t>
      </w:r>
    </w:p>
    <w:p w14:paraId="7C847075" w14:textId="77777777" w:rsidR="00511DCC" w:rsidRPr="00B554AF" w:rsidRDefault="00511DCC" w:rsidP="008E23FC">
      <w:pPr>
        <w:pStyle w:val="CS-IBMResponseText"/>
      </w:pPr>
      <w:r w:rsidRPr="00B554AF">
        <w:t>We leverage proven, enterprise-grade assets that embed innovation directly into the QA process while integrating seamlessly with CalSAWS tools and governance.</w:t>
      </w:r>
    </w:p>
    <w:p w14:paraId="7FDB2752" w14:textId="77777777" w:rsidR="00511DCC" w:rsidRPr="00B554AF" w:rsidRDefault="00511DCC" w:rsidP="001F4A73">
      <w:pPr>
        <w:pStyle w:val="CS-IBMBullet1"/>
      </w:pPr>
      <w:r w:rsidRPr="001F4A73">
        <w:rPr>
          <w:b/>
          <w:bCs/>
        </w:rPr>
        <w:t>IBM Delivery Central Platform (IDCP):</w:t>
      </w:r>
      <w:r w:rsidRPr="00B554AF">
        <w:t xml:space="preserve"> Centralized planning, execution, and reporting across QA cycles.</w:t>
      </w:r>
    </w:p>
    <w:p w14:paraId="15806782" w14:textId="0CA8D138" w:rsidR="00511DCC" w:rsidRPr="00B554AF" w:rsidRDefault="00511DCC" w:rsidP="001F4A73">
      <w:pPr>
        <w:pStyle w:val="CS-IBMBullet1"/>
      </w:pPr>
      <w:r w:rsidRPr="001F4A73">
        <w:rPr>
          <w:b/>
          <w:bCs/>
        </w:rPr>
        <w:t xml:space="preserve">Intelligent Quality Platform (IQP+): </w:t>
      </w:r>
      <w:r w:rsidRPr="00B554AF">
        <w:rPr>
          <w:rFonts w:eastAsia="Calibri"/>
        </w:rPr>
        <w:t>IBM uses its Intelligent Quality Platform (IQP Plus) to perform trend analysis and root-cause reviews across vendors. Insights from these reviews are shared with the PMO and contractors to drive continuous process improvement and joint problem solving</w:t>
      </w:r>
      <w:r w:rsidR="003A085B" w:rsidRPr="00B554AF">
        <w:rPr>
          <w:rFonts w:eastAsia="Calibri"/>
        </w:rPr>
        <w:t xml:space="preserve">. </w:t>
      </w:r>
      <w:r w:rsidRPr="00B554AF">
        <w:rPr>
          <w:rFonts w:eastAsia="Calibri"/>
        </w:rPr>
        <w:t xml:space="preserve">IQP+ is an </w:t>
      </w:r>
      <w:r w:rsidRPr="00B554AF">
        <w:t xml:space="preserve">AI-driven automation with self-healing scripts, </w:t>
      </w:r>
      <w:r w:rsidR="003A085B" w:rsidRPr="00B554AF">
        <w:t>which</w:t>
      </w:r>
      <w:r w:rsidRPr="00B554AF">
        <w:t xml:space="preserve"> has reduced regression effort by 30–40%. IQP+ is a toll that will be utilized as part of the QA Services scope of work.</w:t>
      </w:r>
    </w:p>
    <w:p w14:paraId="7A0F9D4C" w14:textId="798D38A6" w:rsidR="00511DCC" w:rsidRPr="00B554AF" w:rsidRDefault="00511DCC" w:rsidP="001F4A73">
      <w:pPr>
        <w:pStyle w:val="CS-IBMBullet1"/>
      </w:pPr>
      <w:r w:rsidRPr="001F4A73">
        <w:rPr>
          <w:b/>
          <w:bCs/>
        </w:rPr>
        <w:t>Combinatorial Test Design (CTD):</w:t>
      </w:r>
      <w:r w:rsidR="00CF3725">
        <w:rPr>
          <w:b/>
          <w:bCs/>
        </w:rPr>
        <w:t xml:space="preserve"> </w:t>
      </w:r>
      <w:r w:rsidRPr="00B554AF">
        <w:t xml:space="preserve">An accelerator, </w:t>
      </w:r>
      <w:r w:rsidRPr="00B554AF">
        <w:rPr>
          <w:rFonts w:eastAsia="Calibri"/>
        </w:rPr>
        <w:t xml:space="preserve">AI-driven test suite optimization that removes redundant test cases while maintaining 100% coverage of risk-based scenarios. CTD can </w:t>
      </w:r>
      <w:r w:rsidRPr="00B554AF">
        <w:t>reduce test design time by up to 40% while increasing coverage.</w:t>
      </w:r>
    </w:p>
    <w:p w14:paraId="441259DB" w14:textId="2BC19427" w:rsidR="00511DCC" w:rsidRPr="00B554AF" w:rsidRDefault="00511DCC" w:rsidP="001F4A73">
      <w:pPr>
        <w:pStyle w:val="CS-IBMBullet1"/>
      </w:pPr>
      <w:r w:rsidRPr="001F4A73">
        <w:rPr>
          <w:b/>
          <w:bCs/>
        </w:rPr>
        <w:t xml:space="preserve">Quality Index Dashboard: </w:t>
      </w:r>
      <w:r w:rsidRPr="00B554AF">
        <w:t>A dashboard used throughout the engagement that lists and illustrates a real-time view of defect leakage, release predictability, and risk trends.</w:t>
      </w:r>
    </w:p>
    <w:p w14:paraId="191D6C26" w14:textId="0DF3DB6F" w:rsidR="00511DCC" w:rsidRPr="00B554AF" w:rsidRDefault="00442B89" w:rsidP="00555286">
      <w:pPr>
        <w:pStyle w:val="CS-IBMBullet1"/>
      </w:pPr>
      <w:r>
        <w:rPr>
          <w:noProof/>
        </w:rPr>
        <mc:AlternateContent>
          <mc:Choice Requires="wps">
            <w:drawing>
              <wp:anchor distT="0" distB="0" distL="114300" distR="114300" simplePos="0" relativeHeight="251658268" behindDoc="0" locked="0" layoutInCell="1" allowOverlap="1" wp14:anchorId="06EBED9E" wp14:editId="32761D34">
                <wp:simplePos x="0" y="0"/>
                <wp:positionH relativeFrom="column">
                  <wp:posOffset>1508125</wp:posOffset>
                </wp:positionH>
                <wp:positionV relativeFrom="paragraph">
                  <wp:posOffset>2489200</wp:posOffset>
                </wp:positionV>
                <wp:extent cx="2903220" cy="635"/>
                <wp:effectExtent l="0" t="0" r="5080" b="0"/>
                <wp:wrapTopAndBottom/>
                <wp:docPr id="905850716" name="Text Box 1"/>
                <wp:cNvGraphicFramePr/>
                <a:graphic xmlns:a="http://schemas.openxmlformats.org/drawingml/2006/main">
                  <a:graphicData uri="http://schemas.microsoft.com/office/word/2010/wordprocessingShape">
                    <wps:wsp>
                      <wps:cNvSpPr txBox="1"/>
                      <wps:spPr>
                        <a:xfrm>
                          <a:off x="0" y="0"/>
                          <a:ext cx="2903220" cy="635"/>
                        </a:xfrm>
                        <a:prstGeom prst="rect">
                          <a:avLst/>
                        </a:prstGeom>
                        <a:solidFill>
                          <a:prstClr val="white"/>
                        </a:solidFill>
                        <a:ln>
                          <a:noFill/>
                        </a:ln>
                      </wps:spPr>
                      <wps:txbx>
                        <w:txbxContent>
                          <w:p w14:paraId="123B7493" w14:textId="77777777" w:rsidR="00A82685" w:rsidRPr="006E10BC" w:rsidRDefault="00A82685" w:rsidP="00A82685">
                            <w:pPr>
                              <w:pStyle w:val="Caption"/>
                              <w:jc w:val="center"/>
                              <w:rPr>
                                <w:rFonts w:cs="Arial"/>
                                <w:noProof/>
                                <w:color w:val="000000" w:themeColor="text1"/>
                                <w:sz w:val="22"/>
                                <w:szCs w:val="21"/>
                              </w:rPr>
                            </w:pPr>
                            <w:bookmarkStart w:id="67" w:name="_Toc213070094"/>
                            <w:r>
                              <w:t xml:space="preserve">Figure 4.3.1. </w:t>
                            </w:r>
                            <w:r>
                              <w:fldChar w:fldCharType="begin"/>
                            </w:r>
                            <w:r>
                              <w:instrText xml:space="preserve"> SEQ Figure_4.3.1. \* ARABIC </w:instrText>
                            </w:r>
                            <w:r>
                              <w:fldChar w:fldCharType="separate"/>
                            </w:r>
                            <w:r w:rsidR="00442B89">
                              <w:rPr>
                                <w:noProof/>
                              </w:rPr>
                              <w:t>6</w:t>
                            </w:r>
                            <w:r>
                              <w:fldChar w:fldCharType="end"/>
                            </w:r>
                            <w:r>
                              <w:t xml:space="preserve"> Quality Dashboard Visualization</w:t>
                            </w:r>
                            <w:bookmarkEnd w:id="6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6EBED9E" id="_x0000_s1040" type="#_x0000_t202" style="position:absolute;left:0;text-align:left;margin-left:118.75pt;margin-top:196pt;width:228.6pt;height:.05pt;z-index:2516582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" stroked="f">
                <v:textbox style="mso-fit-shape-to-text:t" inset="0,0,0,0">
                  <w:txbxContent>
                    <w:p w14:paraId="123B7493" w14:textId="77777777" w:rsidR="00A82685" w:rsidRPr="006E10BC" w:rsidRDefault="00A82685" w:rsidP="00A82685">
                      <w:pPr>
                        <w:pStyle w:val="Caption"/>
                        <w:jc w:val="center"/>
                        <w:rPr>
                          <w:rFonts w:cs="Arial"/>
                          <w:noProof/>
                          <w:color w:val="000000" w:themeColor="text1"/>
                          <w:sz w:val="22"/>
                          <w:szCs w:val="21"/>
                        </w:rPr>
                      </w:pPr>
                      <w:bookmarkStart w:id="68" w:name="_Toc213070094"/>
                      <w:r>
                        <w:t xml:space="preserve">Figure 4.3.1. </w:t>
                      </w:r>
                      <w:r>
                        <w:fldChar w:fldCharType="begin"/>
                      </w:r>
                      <w:r>
                        <w:instrText xml:space="preserve"> SEQ Figure_4.3.1. \* ARABIC </w:instrText>
                      </w:r>
                      <w:r>
                        <w:fldChar w:fldCharType="separate"/>
                      </w:r>
                      <w:r w:rsidR="00442B89">
                        <w:rPr>
                          <w:noProof/>
                        </w:rPr>
                        <w:t>6</w:t>
                      </w:r>
                      <w:r>
                        <w:fldChar w:fldCharType="end"/>
                      </w:r>
                      <w:r>
                        <w:t xml:space="preserve"> Quality Dashboard Visualization</w:t>
                      </w:r>
                      <w:bookmarkEnd w:id="68"/>
                    </w:p>
                  </w:txbxContent>
                </v:textbox>
                <w10:wrap type="topAndBottom"/>
              </v:shape>
            </w:pict>
          </mc:Fallback>
        </mc:AlternateContent>
      </w:r>
      <w:r>
        <w:rPr>
          <w:noProof/>
        </w:rPr>
        <w:drawing>
          <wp:anchor distT="0" distB="0" distL="114300" distR="114300" simplePos="0" relativeHeight="251658281" behindDoc="0" locked="0" layoutInCell="1" allowOverlap="1" wp14:anchorId="1586AF00" wp14:editId="0F1BA42D">
            <wp:simplePos x="0" y="0"/>
            <wp:positionH relativeFrom="column">
              <wp:posOffset>1620520</wp:posOffset>
            </wp:positionH>
            <wp:positionV relativeFrom="paragraph">
              <wp:posOffset>617259</wp:posOffset>
            </wp:positionV>
            <wp:extent cx="2639060" cy="1804035"/>
            <wp:effectExtent l="0" t="0" r="2540" b="0"/>
            <wp:wrapTopAndBottom/>
            <wp:docPr id="910963010" name="Picture 1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963010" name="Picture 12" descr="A screenshot of a computer&#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39060" cy="1804035"/>
                    </a:xfrm>
                    <a:prstGeom prst="rect">
                      <a:avLst/>
                    </a:prstGeom>
                  </pic:spPr>
                </pic:pic>
              </a:graphicData>
            </a:graphic>
            <wp14:sizeRelH relativeFrom="page">
              <wp14:pctWidth>0</wp14:pctWidth>
            </wp14:sizeRelH>
            <wp14:sizeRelV relativeFrom="page">
              <wp14:pctHeight>0</wp14:pctHeight>
            </wp14:sizeRelV>
          </wp:anchor>
        </w:drawing>
      </w:r>
      <w:r w:rsidR="00511DCC" w:rsidRPr="001F4A73">
        <w:rPr>
          <w:b/>
          <w:bCs/>
        </w:rPr>
        <w:t xml:space="preserve">Early Warning Mechanism: </w:t>
      </w:r>
      <w:r w:rsidR="00511DCC" w:rsidRPr="00B554AF">
        <w:t>A tool utilized to provide predictive alerts for delivery risks and potential scope creep.</w:t>
      </w:r>
    </w:p>
    <w:p w14:paraId="18CA9C90" w14:textId="41DDC9A8" w:rsidR="00511DCC" w:rsidRPr="00CD7E15" w:rsidRDefault="00511DCC" w:rsidP="008E23FC">
      <w:pPr>
        <w:pStyle w:val="CS-IBMResponseText"/>
        <w:rPr>
          <w:color w:val="0070C0"/>
          <w:sz w:val="28"/>
          <w:szCs w:val="28"/>
        </w:rPr>
      </w:pPr>
      <w:r w:rsidRPr="00CD7E15">
        <w:rPr>
          <w:color w:val="0070C0"/>
          <w:sz w:val="28"/>
          <w:szCs w:val="28"/>
        </w:rPr>
        <w:lastRenderedPageBreak/>
        <w:t>Proven Experience</w:t>
      </w:r>
    </w:p>
    <w:p w14:paraId="2FE500FA" w14:textId="77777777" w:rsidR="00511DCC" w:rsidRPr="00B554AF" w:rsidRDefault="00511DCC" w:rsidP="008E23FC">
      <w:pPr>
        <w:pStyle w:val="CS-IBMResponseText"/>
      </w:pPr>
      <w:r w:rsidRPr="00B554AF">
        <w:t>Our QE approach has delivered consistent results across large-scale Health and Human Services (HHS) programs comparable to CalSAWS:</w:t>
      </w:r>
    </w:p>
    <w:p w14:paraId="7F63474A" w14:textId="662D24B3" w:rsidR="00511DCC" w:rsidRPr="00B554AF" w:rsidRDefault="00511DCC" w:rsidP="00247715">
      <w:pPr>
        <w:pStyle w:val="CS-IBMBullet1"/>
      </w:pPr>
      <w:r w:rsidRPr="002E4830">
        <w:rPr>
          <w:b/>
          <w:bCs/>
        </w:rPr>
        <w:t>California MMIS (CAMMIS):</w:t>
      </w:r>
      <w:r w:rsidRPr="00B554AF">
        <w:t xml:space="preserve"> IBM’s AI-enabled regression automation reduced cycle time by up to 30%, achieving less than 1% defect leakage.</w:t>
      </w:r>
    </w:p>
    <w:p w14:paraId="1EB2E53C" w14:textId="66E9EEE4" w:rsidR="00511DCC" w:rsidRPr="00B554AF" w:rsidRDefault="00511DCC" w:rsidP="00247715">
      <w:pPr>
        <w:pStyle w:val="CS-IBMBullet1"/>
      </w:pPr>
      <w:r w:rsidRPr="002E4830">
        <w:rPr>
          <w:b/>
          <w:bCs/>
        </w:rPr>
        <w:t>Florida DCF:</w:t>
      </w:r>
      <w:r w:rsidRPr="00B554AF">
        <w:t xml:space="preserve"> The risk-based QE employed on this project identified approximately 80% of high-risk modules pre-release, cutting post-release defects by about 35%.</w:t>
      </w:r>
    </w:p>
    <w:p w14:paraId="5010F24E" w14:textId="377E8815" w:rsidR="00511DCC" w:rsidRPr="00B554AF" w:rsidRDefault="00511DCC" w:rsidP="002E4830">
      <w:pPr>
        <w:pStyle w:val="CS-IBMBullet1"/>
      </w:pPr>
      <w:r w:rsidRPr="002E4830">
        <w:rPr>
          <w:b/>
          <w:bCs/>
        </w:rPr>
        <w:t xml:space="preserve">Arizona DES: </w:t>
      </w:r>
      <w:r w:rsidRPr="00B554AF">
        <w:t>IBM employed nearshore surge pods that resulted in increased QA capacity by more than 30% during ACA-driven reforms without impacting schedules.</w:t>
      </w:r>
    </w:p>
    <w:p w14:paraId="352C8D6D" w14:textId="0C374CA6" w:rsidR="00511DCC" w:rsidRPr="00B554AF" w:rsidRDefault="00511DCC" w:rsidP="002E4830">
      <w:pPr>
        <w:pStyle w:val="CS-IBMBullet1"/>
      </w:pPr>
      <w:r w:rsidRPr="002E4830">
        <w:rPr>
          <w:b/>
          <w:bCs/>
        </w:rPr>
        <w:t>New York HBE:</w:t>
      </w:r>
      <w:r w:rsidRPr="00B554AF">
        <w:t xml:space="preserve"> IBM employed a hybrid staffing reduced total cost of ownership by about 15% while sustaining predictable quality outcomes.</w:t>
      </w:r>
    </w:p>
    <w:p w14:paraId="2A2D0E30" w14:textId="2B867C48" w:rsidR="0053519D" w:rsidRDefault="00511DCC" w:rsidP="008E23FC">
      <w:pPr>
        <w:pStyle w:val="CS-IBMResponseText"/>
      </w:pPr>
      <w:r w:rsidRPr="00B554AF">
        <w:t>These engagements were performed in a multi-vendor environment, where IBM provided key innovation, leadership, and thought leadership that led to improved QA performance and results. IBM worked in collaboration with these organizations to help instill long-term QA structural and operational improvements – as a result, IBM continues to work with these entities.</w:t>
      </w:r>
    </w:p>
    <w:p w14:paraId="7A38C5C9" w14:textId="77777777" w:rsidR="00511DCC" w:rsidRPr="00CD7E15" w:rsidRDefault="00511DCC" w:rsidP="008E23FC">
      <w:pPr>
        <w:pStyle w:val="CS-IBMResponseText"/>
        <w:rPr>
          <w:color w:val="0070C0"/>
          <w:sz w:val="28"/>
          <w:szCs w:val="28"/>
        </w:rPr>
      </w:pPr>
      <w:r w:rsidRPr="00CD7E15">
        <w:rPr>
          <w:color w:val="0070C0"/>
          <w:sz w:val="28"/>
          <w:szCs w:val="28"/>
        </w:rPr>
        <w:t>Metrics of Success</w:t>
      </w:r>
    </w:p>
    <w:p w14:paraId="6F08A222" w14:textId="1B02E0C2" w:rsidR="00511DCC" w:rsidRPr="00B554AF" w:rsidRDefault="00511DCC" w:rsidP="008E23FC">
      <w:pPr>
        <w:pStyle w:val="CS-IBMResponseText"/>
      </w:pPr>
      <w:r w:rsidRPr="00B554AF">
        <w:t>Our QE outcomes are tracked and reported transparently to the Consortium</w:t>
      </w:r>
      <w:r w:rsidR="00813783">
        <w:t xml:space="preserve"> using our</w:t>
      </w:r>
      <w:r w:rsidR="006C1984">
        <w:t xml:space="preserve"> </w:t>
      </w:r>
      <w:r w:rsidR="00F16570">
        <w:t>test tools and weekly/monthly reports</w:t>
      </w:r>
      <w:r w:rsidR="006B0672">
        <w:t xml:space="preserve"> and Q</w:t>
      </w:r>
      <w:r w:rsidR="00F16570">
        <w:t xml:space="preserve">uality index </w:t>
      </w:r>
      <w:r w:rsidR="003C4703">
        <w:t>dashboards :</w:t>
      </w:r>
    </w:p>
    <w:p w14:paraId="3940E4C5" w14:textId="77777777" w:rsidR="00511DCC" w:rsidRPr="00B554AF" w:rsidRDefault="00511DCC" w:rsidP="00861E9B">
      <w:pPr>
        <w:pStyle w:val="CS-IBMBullet1"/>
      </w:pPr>
      <w:r w:rsidRPr="00735DFC">
        <w:rPr>
          <w:b/>
          <w:bCs/>
        </w:rPr>
        <w:t>Production defect leakage:</w:t>
      </w:r>
      <w:r w:rsidRPr="00B554AF">
        <w:t xml:space="preserve"> less than 1%</w:t>
      </w:r>
    </w:p>
    <w:p w14:paraId="09951B22" w14:textId="77777777" w:rsidR="00511DCC" w:rsidRPr="00B554AF" w:rsidRDefault="00511DCC" w:rsidP="00861E9B">
      <w:pPr>
        <w:pStyle w:val="CS-IBMBullet1"/>
      </w:pPr>
      <w:r w:rsidRPr="00735DFC">
        <w:rPr>
          <w:b/>
          <w:bCs/>
        </w:rPr>
        <w:t>Regression cycle time:</w:t>
      </w:r>
      <w:r w:rsidRPr="00B554AF">
        <w:t xml:space="preserve"> approximately 25–40% faster</w:t>
      </w:r>
    </w:p>
    <w:p w14:paraId="383E985B" w14:textId="77777777" w:rsidR="00511DCC" w:rsidRPr="00B554AF" w:rsidRDefault="00511DCC" w:rsidP="00861E9B">
      <w:pPr>
        <w:pStyle w:val="CS-IBMBullet1"/>
      </w:pPr>
      <w:r w:rsidRPr="00735DFC">
        <w:rPr>
          <w:b/>
          <w:bCs/>
        </w:rPr>
        <w:t xml:space="preserve">Scalability: </w:t>
      </w:r>
      <w:r w:rsidRPr="00B554AF">
        <w:t>30–40% capacity increase within 4 weeks</w:t>
      </w:r>
    </w:p>
    <w:p w14:paraId="5467ACF4" w14:textId="77777777" w:rsidR="00511DCC" w:rsidRPr="00B554AF" w:rsidRDefault="00511DCC" w:rsidP="00861E9B">
      <w:pPr>
        <w:pStyle w:val="CS-IBMBullet1"/>
      </w:pPr>
      <w:r w:rsidRPr="00735DFC">
        <w:rPr>
          <w:b/>
          <w:bCs/>
        </w:rPr>
        <w:t xml:space="preserve">Staff retention: </w:t>
      </w:r>
      <w:r w:rsidRPr="00B554AF">
        <w:t>above 95%</w:t>
      </w:r>
    </w:p>
    <w:p w14:paraId="2862FAF0" w14:textId="77777777" w:rsidR="00511DCC" w:rsidRPr="00B554AF" w:rsidRDefault="00511DCC" w:rsidP="00861E9B">
      <w:pPr>
        <w:pStyle w:val="CS-IBMBullet1"/>
      </w:pPr>
      <w:r w:rsidRPr="00735DFC">
        <w:rPr>
          <w:b/>
          <w:bCs/>
        </w:rPr>
        <w:t>TCO reduction:</w:t>
      </w:r>
      <w:r w:rsidRPr="00B554AF">
        <w:t xml:space="preserve"> about 15% through automation and optimized staffing</w:t>
      </w:r>
    </w:p>
    <w:p w14:paraId="62157D07" w14:textId="232B4040" w:rsidR="00CD7E15" w:rsidRPr="00813783" w:rsidRDefault="00511DCC" w:rsidP="00813783">
      <w:pPr>
        <w:pStyle w:val="CS-IBMBullet1"/>
      </w:pPr>
      <w:r w:rsidRPr="00735DFC">
        <w:rPr>
          <w:b/>
          <w:bCs/>
        </w:rPr>
        <w:t>Risk prediction accuracy:</w:t>
      </w:r>
      <w:r w:rsidRPr="00B554AF">
        <w:t xml:space="preserve"> around 90%</w:t>
      </w:r>
    </w:p>
    <w:p w14:paraId="23EE5B82" w14:textId="77777777" w:rsidR="00511DCC" w:rsidRPr="00CD7E15" w:rsidRDefault="00511DCC" w:rsidP="009664A5">
      <w:pPr>
        <w:pStyle w:val="CS-IBMResponseText"/>
        <w:spacing w:before="240"/>
        <w:rPr>
          <w:color w:val="0070C0"/>
          <w:sz w:val="28"/>
          <w:szCs w:val="28"/>
        </w:rPr>
      </w:pPr>
      <w:r w:rsidRPr="00CD7E15">
        <w:rPr>
          <w:color w:val="0070C0"/>
          <w:sz w:val="28"/>
          <w:szCs w:val="28"/>
        </w:rPr>
        <w:t xml:space="preserve">Delivering </w:t>
      </w:r>
      <w:r w:rsidRPr="00E917FC">
        <w:rPr>
          <w:color w:val="0070C0"/>
          <w:sz w:val="28"/>
          <w:szCs w:val="28"/>
        </w:rPr>
        <w:t xml:space="preserve">Measurable </w:t>
      </w:r>
      <w:r w:rsidRPr="00CD7E15">
        <w:rPr>
          <w:color w:val="0070C0"/>
          <w:sz w:val="28"/>
          <w:szCs w:val="28"/>
        </w:rPr>
        <w:t>Value for CalSAWS</w:t>
      </w:r>
    </w:p>
    <w:p w14:paraId="0A396199" w14:textId="77777777" w:rsidR="00511DCC" w:rsidRPr="00B554AF" w:rsidRDefault="00511DCC" w:rsidP="008E23FC">
      <w:pPr>
        <w:pStyle w:val="CS-IBMResponseText"/>
      </w:pPr>
      <w:r w:rsidRPr="00B554AF">
        <w:t>By embedding QE into every stage of the lifecycle, the Consortium gains a partner that:</w:t>
      </w:r>
    </w:p>
    <w:p w14:paraId="5661D61D" w14:textId="77777777" w:rsidR="00511DCC" w:rsidRPr="008C0BBE" w:rsidRDefault="00511DCC" w:rsidP="00861E9B">
      <w:pPr>
        <w:pStyle w:val="CS-IBMBullet1"/>
      </w:pPr>
      <w:r w:rsidRPr="008C0BBE">
        <w:t>Pulls quality forward, reducing risk and cost.</w:t>
      </w:r>
    </w:p>
    <w:p w14:paraId="026004D5" w14:textId="77777777" w:rsidR="00511DCC" w:rsidRPr="008C0BBE" w:rsidRDefault="00511DCC" w:rsidP="00861E9B">
      <w:pPr>
        <w:pStyle w:val="CS-IBMBullet1"/>
      </w:pPr>
      <w:r w:rsidRPr="008C0BBE">
        <w:t>Harnesses AI and automation to accelerate delivery without compromising accuracy.</w:t>
      </w:r>
    </w:p>
    <w:p w14:paraId="38A6213E" w14:textId="77777777" w:rsidR="00511DCC" w:rsidRPr="008C0BBE" w:rsidRDefault="00511DCC" w:rsidP="00861E9B">
      <w:pPr>
        <w:pStyle w:val="CS-IBMBullet1"/>
      </w:pPr>
      <w:r w:rsidRPr="008C0BBE">
        <w:t>Provides scalable, predictable capacity through blended onsite and nearshore teams.</w:t>
      </w:r>
    </w:p>
    <w:p w14:paraId="58561467" w14:textId="77777777" w:rsidR="00511DCC" w:rsidRPr="008C0BBE" w:rsidRDefault="00511DCC" w:rsidP="00861E9B">
      <w:pPr>
        <w:pStyle w:val="CS-IBMBullet1"/>
      </w:pPr>
      <w:r w:rsidRPr="008C0BBE">
        <w:t>Measures success transparently, aligning to Consortium KPIs.</w:t>
      </w:r>
    </w:p>
    <w:p w14:paraId="79598BD5" w14:textId="2747D85B" w:rsidR="00511DCC" w:rsidRPr="008C0BBE" w:rsidRDefault="00511DCC" w:rsidP="00861E9B">
      <w:pPr>
        <w:pStyle w:val="CS-IBMBullet1"/>
      </w:pPr>
      <w:r w:rsidRPr="008C0BBE">
        <w:t>Keeps the Residents of California and counties at the center by ensuring stable, secure, and reliable service.</w:t>
      </w:r>
    </w:p>
    <w:p w14:paraId="6439A968" w14:textId="4AB7B4C6" w:rsidR="00BB1790" w:rsidRDefault="00511DCC" w:rsidP="00A06CBD">
      <w:pPr>
        <w:pStyle w:val="CS-IBMResponseText"/>
      </w:pPr>
      <w:r w:rsidRPr="00B554AF">
        <w:t>Quality Engineering transforms QA from a compliance function into a strategic enabler, supporting CalSAWS’ mission to deliver timely, accurate, and equitable services to every Californian.</w:t>
      </w:r>
      <w:r w:rsidR="00BB1790">
        <w:br w:type="page"/>
      </w:r>
    </w:p>
    <w:p w14:paraId="23DF7D55" w14:textId="2F0D6443" w:rsidR="00511DCC" w:rsidRPr="00CD7E15" w:rsidRDefault="008A4C49">
      <w:pPr>
        <w:pStyle w:val="Heading3"/>
        <w:keepLines/>
        <w:rPr>
          <w:color w:val="0070C0"/>
          <w:sz w:val="28"/>
          <w:szCs w:val="28"/>
        </w:rPr>
      </w:pPr>
      <w:r>
        <w:rPr>
          <w:rFonts w:eastAsia="Century Gothic"/>
        </w:rPr>
        <w:lastRenderedPageBreak/>
        <w:t xml:space="preserve"> </w:t>
      </w:r>
      <w:bookmarkStart w:id="69" w:name="_Toc213070152"/>
      <w:r w:rsidR="00511DCC" w:rsidRPr="00B554AF">
        <w:rPr>
          <w:rFonts w:eastAsia="Century Gothic"/>
        </w:rPr>
        <w:t>UA7</w:t>
      </w:r>
      <w:r w:rsidR="00654712" w:rsidRPr="00231515">
        <w:rPr>
          <w:rFonts w:eastAsia="Century Gothic"/>
        </w:rPr>
        <w:t xml:space="preserve"> – </w:t>
      </w:r>
      <w:r w:rsidR="00511DCC" w:rsidRPr="00231515">
        <w:rPr>
          <w:color w:val="0070C0"/>
          <w:sz w:val="28"/>
          <w:szCs w:val="28"/>
        </w:rPr>
        <w:t>Understanding of the Consortium’s Vision for User Experience</w:t>
      </w:r>
      <w:bookmarkEnd w:id="69"/>
    </w:p>
    <w:p w14:paraId="708F8E97" w14:textId="77777777" w:rsidR="001E1D57" w:rsidRPr="001E1D57" w:rsidRDefault="001E1D57" w:rsidP="00CF7600">
      <w:pPr>
        <w:pStyle w:val="CS-RFPBodyText"/>
        <w:numPr>
          <w:ilvl w:val="0"/>
          <w:numId w:val="39"/>
        </w:numPr>
        <w:spacing w:before="0" w:after="0"/>
        <w:rPr>
          <w:i/>
          <w:szCs w:val="22"/>
        </w:rPr>
      </w:pPr>
      <w:r w:rsidRPr="001E1D57">
        <w:rPr>
          <w:i/>
          <w:szCs w:val="22"/>
        </w:rPr>
        <w:t>The Consortium has identified a number of key vision elements within its recent procurement documents.</w:t>
      </w:r>
    </w:p>
    <w:p w14:paraId="4E5E2EF7" w14:textId="77777777" w:rsidR="001E1D57" w:rsidRPr="001E1D57" w:rsidRDefault="001E1D57" w:rsidP="00CF7600">
      <w:pPr>
        <w:pStyle w:val="CS-RFPBodyText"/>
        <w:numPr>
          <w:ilvl w:val="0"/>
          <w:numId w:val="39"/>
        </w:numPr>
        <w:spacing w:before="0" w:after="0"/>
        <w:rPr>
          <w:i/>
          <w:szCs w:val="22"/>
        </w:rPr>
      </w:pPr>
      <w:r w:rsidRPr="001E1D57">
        <w:rPr>
          <w:i/>
          <w:szCs w:val="22"/>
        </w:rPr>
        <w:t>Describe the key factors within your QA approach that will support the adoption and evolution of User Centered Design and the User Experience within CalSAWS.</w:t>
      </w:r>
    </w:p>
    <w:p w14:paraId="418D3447" w14:textId="0E3C9A2B" w:rsidR="008F3FAB" w:rsidRDefault="001E1D57" w:rsidP="00CF7600">
      <w:pPr>
        <w:pStyle w:val="CS-RFPBodyText"/>
        <w:numPr>
          <w:ilvl w:val="0"/>
          <w:numId w:val="39"/>
        </w:numPr>
        <w:spacing w:before="0" w:after="0"/>
        <w:rPr>
          <w:i/>
          <w:szCs w:val="22"/>
        </w:rPr>
      </w:pPr>
      <w:r w:rsidRPr="001E1D57">
        <w:rPr>
          <w:i/>
          <w:szCs w:val="22"/>
        </w:rPr>
        <w:t>Provide demonstrated examples from previous QA projects as applicable.</w:t>
      </w:r>
    </w:p>
    <w:p w14:paraId="0F24D66A" w14:textId="77777777" w:rsidR="001E1D57" w:rsidRDefault="001E1D57" w:rsidP="001E1D57">
      <w:pPr>
        <w:pStyle w:val="CS-RFPBodyText"/>
        <w:spacing w:before="0" w:after="0"/>
        <w:rPr>
          <w:i/>
          <w:szCs w:val="22"/>
        </w:rPr>
      </w:pPr>
    </w:p>
    <w:p w14:paraId="1DAF15D9" w14:textId="77777777" w:rsidR="0073445D" w:rsidRPr="00CA2B9A" w:rsidRDefault="0073445D" w:rsidP="0073445D">
      <w:pPr>
        <w:pStyle w:val="CS-IBMResponseText"/>
        <w:rPr>
          <w:i/>
          <w:sz w:val="28"/>
          <w:szCs w:val="28"/>
        </w:rPr>
      </w:pPr>
      <w:r w:rsidRPr="00CA2B9A">
        <w:rPr>
          <w:color w:val="0070C0"/>
          <w:sz w:val="28"/>
          <w:szCs w:val="28"/>
        </w:rPr>
        <w:t>Introduction</w:t>
      </w:r>
      <w:r w:rsidRPr="00CA2B9A">
        <w:rPr>
          <w:i/>
          <w:color w:val="0070C0"/>
          <w:sz w:val="28"/>
          <w:szCs w:val="28"/>
        </w:rPr>
        <w:t xml:space="preserve"> </w:t>
      </w:r>
    </w:p>
    <w:p w14:paraId="2B0A1812" w14:textId="68F36648" w:rsidR="00511DCC" w:rsidRPr="008C0BBE" w:rsidRDefault="00511DCC" w:rsidP="00B061B0">
      <w:pPr>
        <w:pStyle w:val="CS-IBMResponseText"/>
        <w:keepNext/>
        <w:keepLines/>
      </w:pPr>
      <w:r w:rsidRPr="008C0BBE">
        <w:t xml:space="preserve">The CalSAWS Consortium has made User-Centered Design (UCD) and User Experience (UX) fundamental to the system’s next generation. With 58 counties relying on CalSAWS for daily operations and millions of Californians depending on it for timely access to benefits, usability and accessibility are inseparable from program success. With BenefitsCal and CalSAWS requiring access 24/7/365 for both the Residents of California and Consortium personnel, it is imperative the </w:t>
      </w:r>
      <w:r w:rsidR="000009D5" w:rsidRPr="008C0BBE">
        <w:t>platform</w:t>
      </w:r>
      <w:r w:rsidRPr="008C0BBE">
        <w:t xml:space="preserve"> must be usable, inclusive, intuitive, and accessible—equally effective for an eligibility worker processing hundreds of cases a day and for a Resident of California reviewing benefits on a mobile device.</w:t>
      </w:r>
    </w:p>
    <w:p w14:paraId="3D4A3A57" w14:textId="77777777" w:rsidR="00511DCC" w:rsidRPr="00B554AF" w:rsidRDefault="00511DCC" w:rsidP="008E23FC">
      <w:pPr>
        <w:pStyle w:val="CS-IBMResponseText"/>
      </w:pPr>
      <w:r w:rsidRPr="00B554AF">
        <w:t>In this environment:</w:t>
      </w:r>
    </w:p>
    <w:p w14:paraId="63ACE03D" w14:textId="3E325650" w:rsidR="00511DCC" w:rsidRPr="00B554AF" w:rsidRDefault="00511DCC" w:rsidP="005029D6">
      <w:pPr>
        <w:pStyle w:val="CS-IBMBullet1"/>
      </w:pPr>
      <w:r w:rsidRPr="005029D6">
        <w:rPr>
          <w:b/>
          <w:bCs/>
        </w:rPr>
        <w:t>Eligibility workers</w:t>
      </w:r>
      <w:r w:rsidRPr="00B554AF">
        <w:t xml:space="preserve"> who access CalSAWS need clear, efficient workflows that reduce clicks and errors. With thousands of applications/renewals</w:t>
      </w:r>
      <w:r w:rsidR="00716A7C">
        <w:t xml:space="preserve"> and the respective </w:t>
      </w:r>
      <w:r w:rsidRPr="00B554AF">
        <w:t xml:space="preserve">correspondence </w:t>
      </w:r>
      <w:r w:rsidR="00716A7C">
        <w:t>with applicants and recipients</w:t>
      </w:r>
      <w:r w:rsidRPr="00B554AF">
        <w:t xml:space="preserve">, it is critical </w:t>
      </w:r>
      <w:r w:rsidR="00F25832">
        <w:t>that</w:t>
      </w:r>
      <w:r w:rsidRPr="00B554AF">
        <w:t xml:space="preserve"> CalSAWS and BenefitsCal </w:t>
      </w:r>
      <w:r w:rsidR="00F25832">
        <w:t>are easily</w:t>
      </w:r>
      <w:r w:rsidRPr="00B554AF" w:rsidDel="00F25832">
        <w:t xml:space="preserve"> </w:t>
      </w:r>
      <w:r w:rsidRPr="00B554AF">
        <w:t>accessible and available so as to serve the Residents of California in a timely, accurate, and thorough manner.</w:t>
      </w:r>
    </w:p>
    <w:p w14:paraId="7A236CAF" w14:textId="5C080ABA" w:rsidR="00511DCC" w:rsidRPr="00B554AF" w:rsidRDefault="00511DCC" w:rsidP="005029D6">
      <w:pPr>
        <w:pStyle w:val="CS-IBMBullet1"/>
      </w:pPr>
      <w:r w:rsidRPr="005029D6">
        <w:rPr>
          <w:b/>
          <w:bCs/>
        </w:rPr>
        <w:t xml:space="preserve">Residents </w:t>
      </w:r>
      <w:r w:rsidRPr="00B554AF">
        <w:t xml:space="preserve">need confidence that they can access and understand their information regardless of device, language, or ability. This includes applying for benefits, making changes and managing information, receiving Notices of Action (NOA), completing and uploading monthly, quarterly, semi-annual, or annual reports </w:t>
      </w:r>
    </w:p>
    <w:p w14:paraId="3C0D5E53" w14:textId="77777777" w:rsidR="00511DCC" w:rsidRPr="00B554AF" w:rsidRDefault="00511DCC" w:rsidP="005029D6">
      <w:pPr>
        <w:pStyle w:val="CS-IBMBullet1"/>
      </w:pPr>
      <w:r w:rsidRPr="005029D6">
        <w:rPr>
          <w:b/>
          <w:bCs/>
        </w:rPr>
        <w:t xml:space="preserve">County leaders </w:t>
      </w:r>
      <w:r w:rsidRPr="00B554AF">
        <w:t>need assurance that the system supports their local business practices and community needs.</w:t>
      </w:r>
    </w:p>
    <w:p w14:paraId="67E86D97" w14:textId="3B906201" w:rsidR="00511DCC" w:rsidRPr="00B554AF" w:rsidRDefault="00511DCC" w:rsidP="008E23FC">
      <w:pPr>
        <w:pStyle w:val="CS-IBMResponseText"/>
      </w:pPr>
      <w:r w:rsidRPr="00B554AF">
        <w:t>Historically, large systems have struggled to deliver this balance. QA efforts often arrived too late—focused on technical compliance rather than validating how well the system truly serves its users. That approach risks higher costs, slower releases, and usability issues that ripple out to counties and residents alike.</w:t>
      </w:r>
    </w:p>
    <w:p w14:paraId="5AC13915" w14:textId="77777777" w:rsidR="00511DCC" w:rsidRPr="008C0BBE" w:rsidRDefault="00511DCC" w:rsidP="008E23FC">
      <w:pPr>
        <w:pStyle w:val="CS-IBMResponseText"/>
      </w:pPr>
      <w:r w:rsidRPr="008C0BBE">
        <w:t>The Consortium’s intent is clear: to ensure quality is defined not only by defect counts, but by how effectively the system works for the people who depend on it. This expectation elevates QA into a broader discipline—Quality Engineering (QE)—where quality is engineered across every stage of the lifecycle, not merely tested at the end.</w:t>
      </w:r>
    </w:p>
    <w:p w14:paraId="41B7C4CD" w14:textId="77777777" w:rsidR="00511DCC" w:rsidRPr="00B554AF" w:rsidRDefault="00511DCC" w:rsidP="008E23FC">
      <w:pPr>
        <w:pStyle w:val="CS-IBMResponseText"/>
      </w:pPr>
      <w:r w:rsidRPr="00B554AF">
        <w:t>Our team fully aligns with this intent. For CalSAWS, quality means more than stable code; it means a platform that is:</w:t>
      </w:r>
    </w:p>
    <w:p w14:paraId="4205D513" w14:textId="2D0C9170" w:rsidR="00511DCC" w:rsidRPr="00B554AF" w:rsidRDefault="00511DCC" w:rsidP="007D30C1">
      <w:pPr>
        <w:pStyle w:val="CS-IBMBullet1"/>
      </w:pPr>
      <w:r w:rsidRPr="00A110E5">
        <w:rPr>
          <w:b/>
          <w:bCs/>
        </w:rPr>
        <w:t>Resident</w:t>
      </w:r>
      <w:r w:rsidRPr="003B10AC">
        <w:rPr>
          <w:b/>
          <w:bCs/>
        </w:rPr>
        <w:t>-focused</w:t>
      </w:r>
      <w:r w:rsidRPr="00B554AF">
        <w:t xml:space="preserve"> – intuitive, accessible, and responsive to diverse needs. BenefitsCal is a system requiring the Residents of California to access and apply for benefits, manage changes, receive NOAs, upload documents, and complete recertifications/renewals. Having a complete QA process incorporated throughout </w:t>
      </w:r>
      <w:r w:rsidRPr="00B554AF">
        <w:lastRenderedPageBreak/>
        <w:t>the SDLC lifecycle focused on not just defects but by how its impacts the Residents of California will improve the user experience but also the method by which the system is maintained and managed – along with building more trust and collaboration amongst vendor partners and the Consortium.</w:t>
      </w:r>
    </w:p>
    <w:p w14:paraId="74CC0341" w14:textId="6CE5CF40" w:rsidR="00511DCC" w:rsidRPr="00B554AF" w:rsidRDefault="00511DCC" w:rsidP="007D30C1">
      <w:pPr>
        <w:pStyle w:val="CS-IBMBullet1"/>
      </w:pPr>
      <w:r w:rsidRPr="003B10AC">
        <w:rPr>
          <w:b/>
          <w:bCs/>
        </w:rPr>
        <w:t xml:space="preserve">County-aligned </w:t>
      </w:r>
      <w:r w:rsidRPr="00B554AF">
        <w:t>– designed to support worker productivity, accuracy, and satisfaction. With CalSAWS, county personnel access and manage the case management system of record for the 58 counties. As with BenefitsCal, having a structured and improved QA process incorporating innovation will help improve productivity amongst county and Consortium personnel.</w:t>
      </w:r>
    </w:p>
    <w:p w14:paraId="51A5CE25" w14:textId="77777777" w:rsidR="00511DCC" w:rsidRPr="00B554AF" w:rsidRDefault="00511DCC" w:rsidP="007D30C1">
      <w:pPr>
        <w:pStyle w:val="CS-IBMBullet1"/>
      </w:pPr>
      <w:r w:rsidRPr="00A110E5">
        <w:rPr>
          <w:b/>
          <w:bCs/>
        </w:rPr>
        <w:t xml:space="preserve">Future-ready </w:t>
      </w:r>
      <w:r w:rsidRPr="00B554AF">
        <w:t>– adaptable to emerging technologies, new policies, and evolving user expectations. Both CalSAWS and BenefitsCal are required to be adaptable and be receptive to new changes in technologies and processes, resulting from changes in legislation, policy, or Consortium changes. Having a QA process that is incorporated into the beginning of the SDLC process helps identify possible modifications to QA processes, if needed. IBM plans to employ emerging technologies to help improve time to releases and test coverage to meet the continued high expectations from Consortium and the Residents of California.</w:t>
      </w:r>
    </w:p>
    <w:p w14:paraId="60E25341" w14:textId="2414CCE1" w:rsidR="00511DCC" w:rsidRPr="00B554AF" w:rsidRDefault="00511DCC" w:rsidP="007D30C1">
      <w:pPr>
        <w:pStyle w:val="CS-IBMBullet1"/>
      </w:pPr>
      <w:r w:rsidRPr="00A110E5">
        <w:rPr>
          <w:b/>
          <w:bCs/>
        </w:rPr>
        <w:t xml:space="preserve">Trustworthy </w:t>
      </w:r>
      <w:r w:rsidRPr="00B554AF">
        <w:t>– secure, transparent, and dependable in every interaction. Having a structured QA process that aligns with CalSAWS’ objectives and helps to further align and build trust amongst vendor</w:t>
      </w:r>
      <w:r w:rsidR="006D4046">
        <w:t xml:space="preserve">s </w:t>
      </w:r>
      <w:r w:rsidRPr="00B554AF">
        <w:t>and Consortium personnel.</w:t>
      </w:r>
    </w:p>
    <w:p w14:paraId="276DDA23" w14:textId="02B61CC7" w:rsidR="00CD7E15" w:rsidRPr="00F77444" w:rsidRDefault="00511DCC" w:rsidP="008E23FC">
      <w:pPr>
        <w:pStyle w:val="CS-IBMResponseText"/>
      </w:pPr>
      <w:r w:rsidRPr="00395AE0">
        <w:t>By embedding user experience validation into requirements, design, and testing, we help CalSAWS ensure that every system enhancement strengthens both functional performance and human usability—the standard by which Californians ultimately judge service quality.</w:t>
      </w:r>
    </w:p>
    <w:p w14:paraId="1C22106E" w14:textId="77777777" w:rsidR="00A82685" w:rsidRPr="00F77444" w:rsidRDefault="00A82685" w:rsidP="008E23FC">
      <w:pPr>
        <w:pStyle w:val="CS-IBMResponseText"/>
      </w:pPr>
    </w:p>
    <w:p w14:paraId="67F59D6A" w14:textId="77777777" w:rsidR="00511DCC" w:rsidRPr="00CD7E15" w:rsidRDefault="00511DCC" w:rsidP="008E23FC">
      <w:pPr>
        <w:pStyle w:val="CS-IBMResponseText"/>
        <w:rPr>
          <w:color w:val="0070C0"/>
          <w:sz w:val="28"/>
          <w:szCs w:val="28"/>
        </w:rPr>
      </w:pPr>
      <w:r w:rsidRPr="00CD7E15">
        <w:rPr>
          <w:color w:val="0070C0"/>
          <w:sz w:val="28"/>
          <w:szCs w:val="28"/>
        </w:rPr>
        <w:t>Approach to Embedding UCD and UX within CalSAWS QA</w:t>
      </w:r>
    </w:p>
    <w:p w14:paraId="54A4E4E4" w14:textId="754F64E5" w:rsidR="00511DCC" w:rsidRPr="00395AE0" w:rsidRDefault="00511DCC" w:rsidP="008E23FC">
      <w:pPr>
        <w:pStyle w:val="CS-IBMResponseText"/>
      </w:pPr>
      <w:r w:rsidRPr="00395AE0">
        <w:t xml:space="preserve">CalSAWS touches the lives of millions of Californians every day. The BenefitsCal system is designed to provide </w:t>
      </w:r>
      <w:r w:rsidR="007B6A81">
        <w:t>applicants and</w:t>
      </w:r>
      <w:r w:rsidRPr="00395AE0">
        <w:t xml:space="preserve"> recipients with the ability to apply for, change, and view benefit information quickly and </w:t>
      </w:r>
      <w:r w:rsidR="002E400F" w:rsidRPr="00395AE0">
        <w:t>efficiently</w:t>
      </w:r>
      <w:r w:rsidRPr="00395AE0">
        <w:t xml:space="preserve">. The Consortium case management workers rely on BenefitsCal </w:t>
      </w:r>
      <w:r w:rsidR="007B6A81">
        <w:t xml:space="preserve">and CalSAWS </w:t>
      </w:r>
      <w:r w:rsidRPr="00395AE0">
        <w:t>to</w:t>
      </w:r>
      <w:r w:rsidR="00CF3725">
        <w:t xml:space="preserve"> </w:t>
      </w:r>
      <w:r w:rsidRPr="00395AE0">
        <w:t xml:space="preserve">process cases accurately and </w:t>
      </w:r>
      <w:r w:rsidR="00913E8E" w:rsidRPr="00395AE0">
        <w:t>efficiently</w:t>
      </w:r>
      <w:r w:rsidRPr="00395AE0">
        <w:t>. For BenefitsCal, usability is inseparable from quality—and QA must validate not only whether the system works, but whether it works well for everyone who uses it.</w:t>
      </w:r>
    </w:p>
    <w:p w14:paraId="54EDE28F" w14:textId="3FE05318" w:rsidR="00511DCC" w:rsidRPr="00395AE0" w:rsidRDefault="00511DCC" w:rsidP="008E23FC">
      <w:pPr>
        <w:pStyle w:val="CS-IBMResponseText"/>
      </w:pPr>
      <w:r w:rsidRPr="00395AE0">
        <w:t>Our approach integrates User-Centered Design (UCD) and User Experience (UX) principles directly into Quality Engineering (QE), ensuring that every QA cycle contributes to a more accessible, intuitive, and equitable system for counties and the residents of California alike.</w:t>
      </w:r>
    </w:p>
    <w:p w14:paraId="451958B9" w14:textId="77777777" w:rsidR="00511DCC" w:rsidRPr="00CB1C01" w:rsidRDefault="00511DCC" w:rsidP="008E23FC">
      <w:pPr>
        <w:pStyle w:val="CS-IBMResponseText"/>
        <w:rPr>
          <w:b/>
          <w:bCs/>
        </w:rPr>
      </w:pPr>
      <w:r w:rsidRPr="00CB1C01">
        <w:rPr>
          <w:b/>
          <w:bCs/>
        </w:rPr>
        <w:t>Staffing with UCD and UX Expertise</w:t>
      </w:r>
    </w:p>
    <w:p w14:paraId="786D83B3" w14:textId="77777777" w:rsidR="00511DCC" w:rsidRPr="00B554AF" w:rsidRDefault="00511DCC" w:rsidP="008E23FC">
      <w:pPr>
        <w:pStyle w:val="CS-IBMResponseText"/>
      </w:pPr>
      <w:r w:rsidRPr="00B554AF">
        <w:t>To meet the Consortium’s accessibility and usability goals, our QA team blends traditional test expertise with specialized UX and accessibility skills:</w:t>
      </w:r>
    </w:p>
    <w:p w14:paraId="1C6269B5" w14:textId="60B23ABB" w:rsidR="00511DCC" w:rsidRPr="00B554AF" w:rsidRDefault="00511DCC" w:rsidP="00CB1C01">
      <w:pPr>
        <w:pStyle w:val="CS-IBMBullet1"/>
      </w:pPr>
      <w:r w:rsidRPr="00E67339">
        <w:rPr>
          <w:b/>
          <w:bCs/>
        </w:rPr>
        <w:t>Accessibility-Certified Testers,</w:t>
      </w:r>
      <w:r w:rsidRPr="00B554AF">
        <w:t xml:space="preserve"> trained in Web Content Accessibility Guidelines (WCAG) 2.1 AA and Section 508 of the </w:t>
      </w:r>
      <w:r w:rsidR="00913E8E" w:rsidRPr="00B554AF">
        <w:t>Rehabilitation</w:t>
      </w:r>
      <w:r w:rsidRPr="00B554AF">
        <w:t xml:space="preserve"> Act of 1973, validate compliance across all environments, a set of standards for making web content more </w:t>
      </w:r>
      <w:r w:rsidR="00913E8E" w:rsidRPr="00B554AF">
        <w:t>accessible</w:t>
      </w:r>
      <w:r w:rsidRPr="00B554AF">
        <w:t xml:space="preserve"> for those with disabilities. </w:t>
      </w:r>
    </w:p>
    <w:p w14:paraId="067E0C04" w14:textId="77777777" w:rsidR="00511DCC" w:rsidRPr="00B554AF" w:rsidRDefault="00511DCC" w:rsidP="00CB1C01">
      <w:pPr>
        <w:pStyle w:val="CS-IBMBullet1"/>
      </w:pPr>
      <w:r w:rsidRPr="007C55E8">
        <w:rPr>
          <w:b/>
          <w:bCs/>
        </w:rPr>
        <w:lastRenderedPageBreak/>
        <w:t xml:space="preserve">UCD/UX QA Leads </w:t>
      </w:r>
      <w:r w:rsidRPr="00B554AF">
        <w:t>with backgrounds in human–computer interaction guide persona-based test design and user journey validation.</w:t>
      </w:r>
    </w:p>
    <w:p w14:paraId="2C9F9EF7" w14:textId="77777777" w:rsidR="00511DCC" w:rsidRPr="00B554AF" w:rsidRDefault="00511DCC" w:rsidP="00CB1C01">
      <w:pPr>
        <w:pStyle w:val="CS-IBMBullet1"/>
      </w:pPr>
      <w:r w:rsidRPr="00541837">
        <w:rPr>
          <w:b/>
          <w:bCs/>
        </w:rPr>
        <w:t>Automation Engineers</w:t>
      </w:r>
      <w:r w:rsidRPr="00B554AF">
        <w:t xml:space="preserve"> leverage frameworks that support cross-browser and cross-device testing, ensuring consistent experiences statewide.</w:t>
      </w:r>
    </w:p>
    <w:p w14:paraId="02A23556" w14:textId="77777777" w:rsidR="00511DCC" w:rsidRPr="00B554AF" w:rsidRDefault="00511DCC" w:rsidP="00CB1C01">
      <w:pPr>
        <w:pStyle w:val="CS-IBMBullet1"/>
      </w:pPr>
      <w:r w:rsidRPr="00541837">
        <w:rPr>
          <w:b/>
          <w:bCs/>
        </w:rPr>
        <w:t>AI QA Specialists</w:t>
      </w:r>
      <w:r w:rsidRPr="00B554AF">
        <w:t xml:space="preserve"> use predictive analytics and UX bots to surface usability friction points early in the lifecycle.</w:t>
      </w:r>
    </w:p>
    <w:p w14:paraId="23E4E249" w14:textId="77777777" w:rsidR="00511DCC" w:rsidRPr="00B554AF" w:rsidRDefault="00511DCC" w:rsidP="008E23FC">
      <w:pPr>
        <w:pStyle w:val="CS-IBMResponseText"/>
      </w:pPr>
      <w:r w:rsidRPr="00B554AF">
        <w:t>This structure ensures that UCD and accessibility are embedded in every QA activity, not added as a final checklist before release.</w:t>
      </w:r>
    </w:p>
    <w:p w14:paraId="54E181FB" w14:textId="77777777" w:rsidR="00CD7E15" w:rsidRDefault="00CD7E15" w:rsidP="008E23FC">
      <w:pPr>
        <w:pStyle w:val="CS-IBMResponseText"/>
        <w:rPr>
          <w:b/>
          <w:bCs/>
          <w:color w:val="0070C0"/>
        </w:rPr>
      </w:pPr>
    </w:p>
    <w:p w14:paraId="1EC9CD49" w14:textId="77777777" w:rsidR="00511DCC" w:rsidRPr="00CD7E15" w:rsidRDefault="00511DCC" w:rsidP="008E23FC">
      <w:pPr>
        <w:pStyle w:val="CS-IBMResponseText"/>
        <w:rPr>
          <w:color w:val="0070C0"/>
          <w:sz w:val="28"/>
          <w:szCs w:val="28"/>
        </w:rPr>
      </w:pPr>
      <w:r w:rsidRPr="00CD7E15">
        <w:rPr>
          <w:color w:val="0070C0"/>
          <w:sz w:val="28"/>
          <w:szCs w:val="28"/>
        </w:rPr>
        <w:t>Lifecycle Integration</w:t>
      </w:r>
    </w:p>
    <w:p w14:paraId="3ED52DEE" w14:textId="77777777" w:rsidR="00511DCC" w:rsidRPr="00B554AF" w:rsidRDefault="00511DCC" w:rsidP="008E23FC">
      <w:pPr>
        <w:pStyle w:val="CS-IBMResponseText"/>
      </w:pPr>
      <w:r w:rsidRPr="00B554AF">
        <w:t>UCD and UX quality are engineered in from the start of each release.</w:t>
      </w:r>
    </w:p>
    <w:p w14:paraId="134FD715" w14:textId="474CBD7D" w:rsidR="00511DCC" w:rsidRPr="00B554AF" w:rsidRDefault="00511DCC" w:rsidP="00FC3484">
      <w:pPr>
        <w:pStyle w:val="CS-IBMBullet1"/>
      </w:pPr>
      <w:r w:rsidRPr="00FC3484">
        <w:rPr>
          <w:b/>
          <w:bCs/>
        </w:rPr>
        <w:t xml:space="preserve">Requirements and design workshops: </w:t>
      </w:r>
      <w:r w:rsidRPr="00B554AF">
        <w:t>QA staff and M&amp;O vendors within the multi-vendor CalSAWS environment participate and collaborate with business analysts and county SMEs to confirm that requirements are clear, testable, and inclusive of end-user needs. As mentioned, this is the “shift left” process, where QA personnel are working with business analysts and requirement gathers to identify and involve QA early in the software development process.</w:t>
      </w:r>
    </w:p>
    <w:p w14:paraId="78FB0F60" w14:textId="77777777" w:rsidR="00511DCC" w:rsidRPr="00B554AF" w:rsidRDefault="00511DCC" w:rsidP="00FC3484">
      <w:pPr>
        <w:pStyle w:val="CS-IBMBullet1"/>
      </w:pPr>
      <w:r w:rsidRPr="00FC3484">
        <w:rPr>
          <w:b/>
          <w:bCs/>
        </w:rPr>
        <w:t xml:space="preserve">Design validation: </w:t>
      </w:r>
      <w:r w:rsidRPr="00B554AF">
        <w:t>During wireframing and prototyping, QA reviews layouts and interactions for usability before development begins.</w:t>
      </w:r>
    </w:p>
    <w:p w14:paraId="5289D268" w14:textId="77777777" w:rsidR="00511DCC" w:rsidRPr="00B554AF" w:rsidRDefault="00511DCC" w:rsidP="00FC3484">
      <w:pPr>
        <w:pStyle w:val="CS-IBMBullet1"/>
      </w:pPr>
      <w:r w:rsidRPr="00FC3484">
        <w:rPr>
          <w:b/>
          <w:bCs/>
        </w:rPr>
        <w:t>Agile sprint checkpoints:</w:t>
      </w:r>
      <w:r w:rsidRPr="00B554AF">
        <w:t xml:space="preserve"> Each sprint includes a usability validation step, confirming that user journeys and accessibility criteria are met as features are built.</w:t>
      </w:r>
    </w:p>
    <w:p w14:paraId="7BCE1B82" w14:textId="2837A43A" w:rsidR="00CD7E15" w:rsidRPr="00CC6F1B" w:rsidRDefault="00511DCC" w:rsidP="008E23FC">
      <w:pPr>
        <w:pStyle w:val="CS-IBMResponseText"/>
      </w:pPr>
      <w:r w:rsidRPr="00B554AF">
        <w:t xml:space="preserve">By incorporating usability validation throughout the lifecycle, CalSAWS can resolve issues </w:t>
      </w:r>
      <w:r w:rsidR="000445BD" w:rsidRPr="00B554AF">
        <w:t>early,</w:t>
      </w:r>
      <w:r w:rsidR="00F77444">
        <w:t xml:space="preserve"> </w:t>
      </w:r>
      <w:r w:rsidRPr="00B554AF">
        <w:t>avoiding costly redesigns and improving worker and the Residents of California satisfaction.</w:t>
      </w:r>
    </w:p>
    <w:p w14:paraId="77263303" w14:textId="77777777" w:rsidR="00A82685" w:rsidRPr="00CC6F1B" w:rsidRDefault="00A82685" w:rsidP="008E23FC">
      <w:pPr>
        <w:pStyle w:val="CS-IBMResponseText"/>
      </w:pPr>
    </w:p>
    <w:p w14:paraId="6891E1AC" w14:textId="77777777" w:rsidR="00511DCC" w:rsidRPr="00CD7E15" w:rsidRDefault="00511DCC" w:rsidP="008E23FC">
      <w:pPr>
        <w:pStyle w:val="CS-IBMResponseText"/>
        <w:rPr>
          <w:color w:val="0070C0"/>
          <w:sz w:val="28"/>
          <w:szCs w:val="28"/>
        </w:rPr>
      </w:pPr>
      <w:r w:rsidRPr="00CD7E15">
        <w:rPr>
          <w:color w:val="0070C0"/>
          <w:sz w:val="28"/>
          <w:szCs w:val="28"/>
        </w:rPr>
        <w:t>Collaboration with Consortium and Counties</w:t>
      </w:r>
    </w:p>
    <w:p w14:paraId="3F8B83D6" w14:textId="77777777" w:rsidR="00511DCC" w:rsidRPr="00B554AF" w:rsidRDefault="00511DCC" w:rsidP="008E23FC">
      <w:pPr>
        <w:pStyle w:val="CS-IBMResponseText"/>
      </w:pPr>
      <w:r w:rsidRPr="00B554AF">
        <w:t>CalSAWS’ success depends on a partnership between the Consortium, counties, and vendors. Our QA approach supports structured collaboration and feedback loops that reflect that partnership:</w:t>
      </w:r>
    </w:p>
    <w:p w14:paraId="664D8859" w14:textId="77777777" w:rsidR="00511DCC" w:rsidRPr="00B554AF" w:rsidRDefault="00511DCC" w:rsidP="00EB17C1">
      <w:pPr>
        <w:pStyle w:val="CS-IBMBullet1"/>
      </w:pPr>
      <w:r w:rsidRPr="00EB17C1">
        <w:rPr>
          <w:b/>
          <w:bCs/>
        </w:rPr>
        <w:t xml:space="preserve">County user involvement: </w:t>
      </w:r>
      <w:r w:rsidRPr="00B554AF">
        <w:t>County workers participate in UAT cycles and usability walkthroughs, validating that workflows reflect local operations.</w:t>
      </w:r>
    </w:p>
    <w:p w14:paraId="4774B5D8" w14:textId="2AB298C8" w:rsidR="00511DCC" w:rsidRPr="00B554AF" w:rsidRDefault="00511DCC" w:rsidP="00EB17C1">
      <w:pPr>
        <w:pStyle w:val="CS-IBMBullet1"/>
      </w:pPr>
      <w:r w:rsidRPr="00EB17C1">
        <w:rPr>
          <w:b/>
          <w:bCs/>
        </w:rPr>
        <w:t xml:space="preserve">Residents of California insight integration: </w:t>
      </w:r>
      <w:r w:rsidRPr="00B554AF">
        <w:t>Pilot releases and targeted user surveys provide real-world feedback on clarity, accessibility, and navigation.</w:t>
      </w:r>
    </w:p>
    <w:p w14:paraId="6370EE71" w14:textId="77777777" w:rsidR="00511DCC" w:rsidRPr="00B554AF" w:rsidRDefault="00511DCC" w:rsidP="00EB17C1">
      <w:pPr>
        <w:pStyle w:val="CS-IBMBullet1"/>
      </w:pPr>
      <w:r w:rsidRPr="00EB17C1">
        <w:rPr>
          <w:b/>
          <w:bCs/>
        </w:rPr>
        <w:t xml:space="preserve">Feedback tracking: </w:t>
      </w:r>
      <w:r w:rsidRPr="00B554AF">
        <w:t>All usability and accessibility findings are logged, prioritized, and linked to regression test suites to ensure continuous improvement.</w:t>
      </w:r>
    </w:p>
    <w:p w14:paraId="3BB8F6B9" w14:textId="0050C8ED" w:rsidR="00CD7E15" w:rsidRPr="00CC6F1B" w:rsidRDefault="00511DCC" w:rsidP="008E23FC">
      <w:pPr>
        <w:pStyle w:val="CS-IBMResponseText"/>
      </w:pPr>
      <w:r w:rsidRPr="000E313E">
        <w:t>This collaborative structure ensures that the Residents of California and county perspectives directly shape QA outcomes.</w:t>
      </w:r>
    </w:p>
    <w:p w14:paraId="3836C916" w14:textId="77777777" w:rsidR="00A82685" w:rsidRPr="00CC6F1B" w:rsidRDefault="00A82685" w:rsidP="008E23FC">
      <w:pPr>
        <w:pStyle w:val="CS-IBMResponseText"/>
      </w:pPr>
    </w:p>
    <w:p w14:paraId="68A6A4C1" w14:textId="77777777" w:rsidR="00511DCC" w:rsidRPr="00CD7E15" w:rsidRDefault="00511DCC" w:rsidP="008E23FC">
      <w:pPr>
        <w:pStyle w:val="CS-IBMResponseText"/>
        <w:rPr>
          <w:color w:val="0070C0"/>
          <w:sz w:val="28"/>
          <w:szCs w:val="28"/>
        </w:rPr>
      </w:pPr>
      <w:r w:rsidRPr="00CD7E15">
        <w:rPr>
          <w:color w:val="0070C0"/>
          <w:sz w:val="28"/>
          <w:szCs w:val="28"/>
        </w:rPr>
        <w:t>Governance and Transparency</w:t>
      </w:r>
    </w:p>
    <w:p w14:paraId="5C0B64BE" w14:textId="77777777" w:rsidR="00511DCC" w:rsidRPr="00B554AF" w:rsidRDefault="00511DCC" w:rsidP="008E23FC">
      <w:pPr>
        <w:pStyle w:val="CS-IBMResponseText"/>
      </w:pPr>
      <w:r w:rsidRPr="00B554AF">
        <w:t>UCD and UX quality are tracked with the same rigor as functional quality.</w:t>
      </w:r>
    </w:p>
    <w:p w14:paraId="3C24A4B1" w14:textId="77777777" w:rsidR="00511DCC" w:rsidRPr="00B554AF" w:rsidRDefault="00511DCC" w:rsidP="001D65B3">
      <w:pPr>
        <w:pStyle w:val="CS-IBMBullet1"/>
      </w:pPr>
      <w:r w:rsidRPr="00AB68E1">
        <w:rPr>
          <w:b/>
          <w:bCs/>
        </w:rPr>
        <w:lastRenderedPageBreak/>
        <w:t>Governance integration:</w:t>
      </w:r>
      <w:r w:rsidRPr="00B554AF">
        <w:t xml:space="preserve"> Accessibility and usability metrics are presented in regular governance meetings alongside defect trends and release readiness scores.</w:t>
      </w:r>
    </w:p>
    <w:p w14:paraId="64CEE1B5" w14:textId="77777777" w:rsidR="00511DCC" w:rsidRPr="00B554AF" w:rsidRDefault="00511DCC" w:rsidP="001D65B3">
      <w:pPr>
        <w:pStyle w:val="CS-IBMBullet1"/>
      </w:pPr>
      <w:r w:rsidRPr="00AB68E1">
        <w:rPr>
          <w:b/>
          <w:bCs/>
        </w:rPr>
        <w:t>Dashboard reporting:</w:t>
      </w:r>
      <w:r w:rsidRPr="00B554AF">
        <w:t xml:space="preserve"> Monthly dashboards include accessibility pass rates, usability defect density, and satisfaction data.</w:t>
      </w:r>
    </w:p>
    <w:p w14:paraId="5637EFA3" w14:textId="0CC9A7B8" w:rsidR="00CC6F1B" w:rsidRPr="00A82685" w:rsidRDefault="00511DCC" w:rsidP="00A82685">
      <w:pPr>
        <w:pStyle w:val="CS-IBMBullet1"/>
      </w:pPr>
      <w:r w:rsidRPr="00AB68E1">
        <w:rPr>
          <w:b/>
          <w:bCs/>
        </w:rPr>
        <w:t xml:space="preserve">Accountability: </w:t>
      </w:r>
      <w:r w:rsidRPr="00B554AF">
        <w:t>QA performance on UCD/UX metrics is tied to overall release acceptance, reinforcing that usability is a first-class quality dimension.</w:t>
      </w:r>
    </w:p>
    <w:p w14:paraId="29C3100A" w14:textId="77777777" w:rsidR="00511DCC" w:rsidRPr="00CD7E15" w:rsidRDefault="00511DCC" w:rsidP="009664A5">
      <w:pPr>
        <w:pStyle w:val="CS-IBMResponseText"/>
        <w:spacing w:before="240"/>
        <w:rPr>
          <w:color w:val="0070C0"/>
          <w:sz w:val="28"/>
          <w:szCs w:val="28"/>
        </w:rPr>
      </w:pPr>
      <w:r w:rsidRPr="00CD7E15">
        <w:rPr>
          <w:color w:val="0070C0"/>
          <w:sz w:val="28"/>
          <w:szCs w:val="28"/>
        </w:rPr>
        <w:t>Key Components of UCD/UX QA</w:t>
      </w:r>
    </w:p>
    <w:p w14:paraId="5E8282A6" w14:textId="77777777" w:rsidR="0045031A" w:rsidRPr="0045031A" w:rsidRDefault="00511DCC" w:rsidP="008E23FC">
      <w:pPr>
        <w:pStyle w:val="CS-IBMResponseText"/>
        <w:rPr>
          <w:b/>
          <w:bCs/>
        </w:rPr>
      </w:pPr>
      <w:r w:rsidRPr="0045031A">
        <w:rPr>
          <w:b/>
          <w:bCs/>
        </w:rPr>
        <w:t>Persona-Driven Testing</w:t>
      </w:r>
    </w:p>
    <w:p w14:paraId="3B4B0E80" w14:textId="4FDAF0FF" w:rsidR="00511DCC" w:rsidRPr="00B554AF" w:rsidRDefault="00511DCC" w:rsidP="008E23FC">
      <w:pPr>
        <w:pStyle w:val="CS-IBMResponseText"/>
      </w:pPr>
      <w:r w:rsidRPr="00B554AF">
        <w:t>QA validates the system through real-world user journeys, not abstract test cases:</w:t>
      </w:r>
    </w:p>
    <w:p w14:paraId="49780730" w14:textId="7207FA72" w:rsidR="00511DCC" w:rsidRPr="00B554AF" w:rsidRDefault="00511DCC" w:rsidP="0045031A">
      <w:pPr>
        <w:pStyle w:val="CS-IBMBullet1"/>
      </w:pPr>
      <w:r w:rsidRPr="0045031A">
        <w:rPr>
          <w:b/>
          <w:bCs/>
        </w:rPr>
        <w:t xml:space="preserve">Residents of California personas: </w:t>
      </w:r>
      <w:r w:rsidR="001978B1" w:rsidRPr="00B554AF">
        <w:t>CalWORKs</w:t>
      </w:r>
      <w:r w:rsidRPr="00B554AF">
        <w:t xml:space="preserve"> recipient applying for renewal/certification and reviewing Notices of Action (NOA). </w:t>
      </w:r>
    </w:p>
    <w:p w14:paraId="1CB8893E" w14:textId="6411CAD3" w:rsidR="00511DCC" w:rsidRPr="00B554AF" w:rsidRDefault="00511DCC" w:rsidP="0045031A">
      <w:pPr>
        <w:pStyle w:val="CS-IBMBullet1"/>
      </w:pPr>
      <w:r w:rsidRPr="0045031A">
        <w:rPr>
          <w:b/>
          <w:bCs/>
        </w:rPr>
        <w:t xml:space="preserve">County worker personas: </w:t>
      </w:r>
      <w:r w:rsidRPr="00B554AF">
        <w:t>Intake eligibility worker processing multiple applications for CalWORKs, Medi-Cal and CalFRESH daily, Eligibility Supervisor monitoring caseload performance.</w:t>
      </w:r>
    </w:p>
    <w:p w14:paraId="6E75C9F7" w14:textId="1D5C468C" w:rsidR="00511DCC" w:rsidRPr="00B554AF" w:rsidRDefault="00511DCC" w:rsidP="00D53686">
      <w:pPr>
        <w:pStyle w:val="CS-IBMResponseText"/>
      </w:pPr>
      <w:r w:rsidRPr="00B554AF">
        <w:t>This ensures that testing mirrors the diverse experiences of those who use BenefitsCal and CalSAWS every day.</w:t>
      </w:r>
    </w:p>
    <w:p w14:paraId="6D09FD78" w14:textId="77777777" w:rsidR="004B368E" w:rsidRPr="004B368E" w:rsidRDefault="00511DCC" w:rsidP="008E23FC">
      <w:pPr>
        <w:pStyle w:val="CS-IBMResponseText"/>
        <w:rPr>
          <w:b/>
          <w:bCs/>
        </w:rPr>
      </w:pPr>
      <w:r w:rsidRPr="004B368E">
        <w:rPr>
          <w:b/>
          <w:bCs/>
        </w:rPr>
        <w:t>Accessibility Testing</w:t>
      </w:r>
    </w:p>
    <w:p w14:paraId="37D1FCA5" w14:textId="334DE2A0" w:rsidR="00511DCC" w:rsidRPr="00B554AF" w:rsidRDefault="00511DCC" w:rsidP="008E23FC">
      <w:pPr>
        <w:pStyle w:val="CS-IBMResponseText"/>
      </w:pPr>
      <w:r w:rsidRPr="00B554AF">
        <w:t>Accessibility is built into every release cycle:</w:t>
      </w:r>
    </w:p>
    <w:p w14:paraId="0DD61FC9" w14:textId="77777777" w:rsidR="00511DCC" w:rsidRPr="00B554AF" w:rsidRDefault="00511DCC" w:rsidP="0014169B">
      <w:pPr>
        <w:pStyle w:val="CS-IBMBullet1"/>
      </w:pPr>
      <w:r w:rsidRPr="00B554AF">
        <w:t>Automated scanning tools for WCAG 2.1 AA and Section 508 compliance.</w:t>
      </w:r>
    </w:p>
    <w:p w14:paraId="6A8E0D53" w14:textId="25AD18F4" w:rsidR="00511DCC" w:rsidRPr="00B554AF" w:rsidRDefault="00511DCC" w:rsidP="004B368E">
      <w:pPr>
        <w:pStyle w:val="CS-IBMBullet1"/>
        <w:rPr>
          <w:rFonts w:eastAsia="Roboto"/>
        </w:rPr>
      </w:pPr>
      <w:r w:rsidRPr="00B554AF">
        <w:t>Manual screen-reader testing with</w:t>
      </w:r>
      <w:r w:rsidR="00CF3725">
        <w:t xml:space="preserve"> </w:t>
      </w:r>
      <w:r w:rsidRPr="00B554AF">
        <w:rPr>
          <w:rFonts w:eastAsia="Calibri"/>
        </w:rPr>
        <w:t>Job Access with Speech (</w:t>
      </w:r>
      <w:r w:rsidRPr="00B554AF">
        <w:t xml:space="preserve">JAWS), which is utilized for users with vision loss, providing speech and Braille; Non-Visual Desktop Access (NVDA), providing blind and visually impaired individuals with the ability to access Windows and other applications; </w:t>
      </w:r>
      <w:r w:rsidR="00FF021D" w:rsidRPr="00B554AF">
        <w:t>and Voice Over</w:t>
      </w:r>
      <w:r w:rsidRPr="00B554AF">
        <w:t xml:space="preserve"> that a user can access a Macintosh or IOS device based on spoken description. </w:t>
      </w:r>
    </w:p>
    <w:p w14:paraId="76081A81" w14:textId="77777777" w:rsidR="00511DCC" w:rsidRPr="00B554AF" w:rsidRDefault="00511DCC" w:rsidP="00272BE0">
      <w:pPr>
        <w:pStyle w:val="CS-IBMBullet1"/>
      </w:pPr>
      <w:r w:rsidRPr="00B554AF">
        <w:t>Keyboard navigation validation, color-contrast checks, and accessibility regression to prevent reintroduction of barriers.</w:t>
      </w:r>
    </w:p>
    <w:p w14:paraId="3862D90D" w14:textId="77777777" w:rsidR="00272BE0" w:rsidRPr="00272BE0" w:rsidRDefault="00511DCC" w:rsidP="008E23FC">
      <w:pPr>
        <w:pStyle w:val="CS-IBMResponseText"/>
        <w:rPr>
          <w:b/>
          <w:bCs/>
        </w:rPr>
      </w:pPr>
      <w:r w:rsidRPr="00272BE0">
        <w:rPr>
          <w:b/>
          <w:bCs/>
        </w:rPr>
        <w:t>Cross-Browser and Device Validation</w:t>
      </w:r>
    </w:p>
    <w:p w14:paraId="2FEDB8FB" w14:textId="5A393016" w:rsidR="00511DCC" w:rsidRPr="00B554AF" w:rsidRDefault="00511DCC" w:rsidP="008E23FC">
      <w:pPr>
        <w:pStyle w:val="CS-IBMResponseText"/>
      </w:pPr>
      <w:r w:rsidRPr="00B554AF">
        <w:t>BenefitsCal serves the Residents of California on phones, tablets, and desktops. Testing spans 100+ browser/device/OS combinations to ensure:</w:t>
      </w:r>
    </w:p>
    <w:p w14:paraId="4DDE413C" w14:textId="77777777" w:rsidR="00511DCC" w:rsidRPr="00B554AF" w:rsidRDefault="00511DCC" w:rsidP="00D645F4">
      <w:pPr>
        <w:pStyle w:val="CS-IBMBullet1"/>
      </w:pPr>
      <w:r w:rsidRPr="00B554AF">
        <w:t>Mobile-first usability.</w:t>
      </w:r>
    </w:p>
    <w:p w14:paraId="627982A5" w14:textId="77777777" w:rsidR="00511DCC" w:rsidRPr="00B554AF" w:rsidRDefault="00511DCC" w:rsidP="00D645F4">
      <w:pPr>
        <w:pStyle w:val="CS-IBMBullet1"/>
      </w:pPr>
      <w:r w:rsidRPr="00B554AF">
        <w:t>Consistent appearance and performance across platforms.</w:t>
      </w:r>
    </w:p>
    <w:p w14:paraId="6A95EAB3" w14:textId="77777777" w:rsidR="00511DCC" w:rsidRPr="00B554AF" w:rsidRDefault="00511DCC" w:rsidP="00D645F4">
      <w:pPr>
        <w:pStyle w:val="CS-IBMBullet1"/>
      </w:pPr>
      <w:r w:rsidRPr="00B554AF">
        <w:t>Smooth responsive design and navigation.</w:t>
      </w:r>
    </w:p>
    <w:p w14:paraId="1459D169" w14:textId="77777777" w:rsidR="00511DCC" w:rsidRPr="00DF447A" w:rsidRDefault="00511DCC" w:rsidP="00DF447A">
      <w:pPr>
        <w:pStyle w:val="CS-IBMResponseText"/>
        <w:rPr>
          <w:b/>
          <w:bCs/>
        </w:rPr>
      </w:pPr>
      <w:r w:rsidRPr="00DF447A">
        <w:rPr>
          <w:b/>
          <w:bCs/>
        </w:rPr>
        <w:t>Feedback Loops and Continuous UX Validation</w:t>
      </w:r>
    </w:p>
    <w:p w14:paraId="54C370B3" w14:textId="660E4C55" w:rsidR="00511DCC" w:rsidRPr="00B554AF" w:rsidRDefault="00511DCC" w:rsidP="00DF447A">
      <w:pPr>
        <w:pStyle w:val="CS-IBMBullet1"/>
      </w:pPr>
      <w:r w:rsidRPr="00B554AF">
        <w:t>County worker insights captured during UAT inform iterative improvements for both CalSAWS and BenefitsCal.</w:t>
      </w:r>
    </w:p>
    <w:p w14:paraId="68C76EC6" w14:textId="350CDBFC" w:rsidR="00511DCC" w:rsidRPr="00B554AF" w:rsidRDefault="00511DCC" w:rsidP="00DF447A">
      <w:pPr>
        <w:pStyle w:val="CS-IBMBullet1"/>
      </w:pPr>
      <w:r w:rsidRPr="00B554AF">
        <w:t>Residents of California feedback on BenefitsCal and helpdesk data are analyzed to detect recurring usability issues.</w:t>
      </w:r>
    </w:p>
    <w:p w14:paraId="7A887E59" w14:textId="42235676" w:rsidR="00CD7E15" w:rsidRPr="00CD7E15" w:rsidRDefault="00511DCC" w:rsidP="00CD7E15">
      <w:pPr>
        <w:pStyle w:val="CS-IBMBullet1"/>
      </w:pPr>
      <w:r w:rsidRPr="00B554AF">
        <w:t>Improvements feed into design reviews and regression test cases to sustain progress.</w:t>
      </w:r>
    </w:p>
    <w:p w14:paraId="76C36833" w14:textId="77777777" w:rsidR="00A82685" w:rsidRPr="00CD7E15" w:rsidRDefault="00A82685" w:rsidP="00A82685">
      <w:pPr>
        <w:pStyle w:val="CS-IBMBullet1"/>
        <w:numPr>
          <w:ilvl w:val="0"/>
          <w:numId w:val="0"/>
        </w:numPr>
        <w:ind w:left="360" w:hanging="360"/>
      </w:pPr>
    </w:p>
    <w:p w14:paraId="55FECB0C" w14:textId="77777777" w:rsidR="00DF447A" w:rsidRPr="00CD7E15" w:rsidRDefault="00511DCC" w:rsidP="009664A5">
      <w:pPr>
        <w:pStyle w:val="CS-IBMResponseText"/>
        <w:spacing w:before="240"/>
        <w:rPr>
          <w:color w:val="0070C0"/>
          <w:sz w:val="28"/>
          <w:szCs w:val="28"/>
        </w:rPr>
      </w:pPr>
      <w:r w:rsidRPr="00CD7E15">
        <w:rPr>
          <w:color w:val="0070C0"/>
          <w:sz w:val="28"/>
          <w:szCs w:val="28"/>
        </w:rPr>
        <w:lastRenderedPageBreak/>
        <w:t>Continuous Improvement</w:t>
      </w:r>
    </w:p>
    <w:p w14:paraId="1536B3C8" w14:textId="2058DF41" w:rsidR="00CD7E15" w:rsidRPr="00A82685" w:rsidRDefault="00511DCC" w:rsidP="008E23FC">
      <w:pPr>
        <w:pStyle w:val="CS-IBMResponseText"/>
      </w:pPr>
      <w:r w:rsidRPr="000E313E">
        <w:t>UX performance is measured across releases with metrics such as task completion time, accessibility compliance rate, and satisfaction scores. Trends inform training, process refinements, and design standards, ensuring that CalSAWS continues to evolve toward greater ease of use and inclusion.</w:t>
      </w:r>
    </w:p>
    <w:p w14:paraId="29D85C66" w14:textId="77777777" w:rsidR="00511DCC" w:rsidRPr="00CD7E15" w:rsidRDefault="00511DCC" w:rsidP="008E23FC">
      <w:pPr>
        <w:pStyle w:val="CS-IBMResponseText"/>
        <w:rPr>
          <w:color w:val="0070C0"/>
          <w:sz w:val="28"/>
          <w:szCs w:val="28"/>
        </w:rPr>
      </w:pPr>
      <w:r w:rsidRPr="00CD7E15">
        <w:rPr>
          <w:color w:val="0070C0"/>
          <w:sz w:val="28"/>
          <w:szCs w:val="28"/>
        </w:rPr>
        <w:t>Staffing Model and Experience</w:t>
      </w:r>
    </w:p>
    <w:p w14:paraId="6C5D8321" w14:textId="77777777" w:rsidR="00511DCC" w:rsidRPr="000E313E" w:rsidRDefault="00511DCC" w:rsidP="008E23FC">
      <w:pPr>
        <w:pStyle w:val="CS-IBMResponseText"/>
      </w:pPr>
      <w:r w:rsidRPr="000E313E">
        <w:t>(See Section UA6 for the full Operational Staffing Model.) This same onsite/nearshore structure ensures consistent governance participation, scalability, and institutional knowledge across all QA activities supporting user experience and accessibility.</w:t>
      </w:r>
    </w:p>
    <w:p w14:paraId="5A7C6D2B" w14:textId="0F69725E" w:rsidR="00511DCC" w:rsidRPr="000E313E" w:rsidRDefault="00511DCC" w:rsidP="008E23FC">
      <w:pPr>
        <w:pStyle w:val="CS-IBMResponseText"/>
      </w:pPr>
      <w:r w:rsidRPr="000E313E">
        <w:t xml:space="preserve">Onsite QA leaders in </w:t>
      </w:r>
      <w:r w:rsidR="008A3F6C">
        <w:t>Gold River</w:t>
      </w:r>
      <w:r w:rsidR="008A3F6C" w:rsidRPr="000E313E">
        <w:t xml:space="preserve"> </w:t>
      </w:r>
      <w:r w:rsidRPr="000E313E">
        <w:t>collaborate directly with the Consortium and county representatives, ensuring usability validation and accessibility compliance remain tightly aligned with governance priorities. Nearshore surge pods in Lansing provide elastic capacity—expanding by 30–40% within weeks to meet policy, accessibility, or modernization deadlines—while maintaining 95%+ retention for continuity across releases.</w:t>
      </w:r>
    </w:p>
    <w:p w14:paraId="4493E812" w14:textId="57F3FD66" w:rsidR="00CD7E15" w:rsidRPr="00CC6F1B" w:rsidRDefault="00511DCC" w:rsidP="008E23FC">
      <w:pPr>
        <w:pStyle w:val="CS-IBMResponseText"/>
      </w:pPr>
      <w:r w:rsidRPr="00B554AF">
        <w:t>This balance allows CalSAWS to sustain continuous improvement in UCD and UX quality without increasing overall cost or risk.</w:t>
      </w:r>
    </w:p>
    <w:p w14:paraId="2D0809C4" w14:textId="77777777" w:rsidR="00A82685" w:rsidRPr="00CC6F1B" w:rsidRDefault="00A82685" w:rsidP="008E23FC">
      <w:pPr>
        <w:pStyle w:val="CS-IBMResponseText"/>
      </w:pPr>
    </w:p>
    <w:p w14:paraId="08989E1D" w14:textId="4D93569C" w:rsidR="00511DCC" w:rsidRPr="00CD7E15" w:rsidRDefault="00511DCC" w:rsidP="008E23FC">
      <w:pPr>
        <w:pStyle w:val="CS-IBMResponseText"/>
        <w:rPr>
          <w:color w:val="0070C0"/>
          <w:sz w:val="28"/>
          <w:szCs w:val="28"/>
        </w:rPr>
      </w:pPr>
      <w:r w:rsidRPr="00CD7E15">
        <w:rPr>
          <w:color w:val="0070C0"/>
          <w:sz w:val="28"/>
          <w:szCs w:val="28"/>
        </w:rPr>
        <w:t>Tools, Accelerators, and Innovation</w:t>
      </w:r>
    </w:p>
    <w:p w14:paraId="61F66F9D" w14:textId="77777777" w:rsidR="00511DCC" w:rsidRPr="00B554AF" w:rsidRDefault="00511DCC" w:rsidP="008E23FC">
      <w:pPr>
        <w:pStyle w:val="CS-IBMResponseText"/>
      </w:pPr>
      <w:r w:rsidRPr="00B554AF">
        <w:t>We apply tools and accelerators that strengthen usability assurance and integrate with CalSAWS’ toolchain:</w:t>
      </w:r>
    </w:p>
    <w:p w14:paraId="4624B2E6" w14:textId="77777777" w:rsidR="00511DCC" w:rsidRPr="00B554AF" w:rsidRDefault="00511DCC" w:rsidP="0021689F">
      <w:pPr>
        <w:pStyle w:val="CS-IBMBullet1"/>
      </w:pPr>
      <w:r w:rsidRPr="00FC79AE">
        <w:rPr>
          <w:b/>
          <w:bCs/>
        </w:rPr>
        <w:t xml:space="preserve">Automated Layout Validators </w:t>
      </w:r>
      <w:r w:rsidRPr="00B554AF">
        <w:t>detect UI inconsistencies across devices and browsers.</w:t>
      </w:r>
    </w:p>
    <w:p w14:paraId="08F00BBB" w14:textId="77777777" w:rsidR="00511DCC" w:rsidRPr="00B554AF" w:rsidRDefault="00511DCC" w:rsidP="0021689F">
      <w:pPr>
        <w:pStyle w:val="CS-IBMBullet1"/>
      </w:pPr>
      <w:r w:rsidRPr="00FC79AE">
        <w:rPr>
          <w:b/>
          <w:bCs/>
        </w:rPr>
        <w:t xml:space="preserve">Accessibility Scanners </w:t>
      </w:r>
      <w:r w:rsidRPr="00B554AF">
        <w:t>identify WCAG/Section 508 violations early in the lifecycle.</w:t>
      </w:r>
    </w:p>
    <w:p w14:paraId="7BFEC72B" w14:textId="77777777" w:rsidR="00511DCC" w:rsidRPr="00B554AF" w:rsidRDefault="00511DCC" w:rsidP="0021689F">
      <w:pPr>
        <w:pStyle w:val="CS-IBMBullet1"/>
      </w:pPr>
      <w:r w:rsidRPr="00FC79AE">
        <w:rPr>
          <w:b/>
          <w:bCs/>
        </w:rPr>
        <w:t xml:space="preserve">Cross-Device Labs </w:t>
      </w:r>
      <w:r w:rsidRPr="00B554AF">
        <w:t>validate functionality and layout across 100+ device/browser combinations.</w:t>
      </w:r>
    </w:p>
    <w:p w14:paraId="782BAC56" w14:textId="77777777" w:rsidR="00511DCC" w:rsidRPr="00B554AF" w:rsidRDefault="00511DCC" w:rsidP="0021689F">
      <w:pPr>
        <w:pStyle w:val="CS-IBMBullet1"/>
      </w:pPr>
      <w:r w:rsidRPr="00FC79AE">
        <w:rPr>
          <w:b/>
          <w:bCs/>
        </w:rPr>
        <w:t>AI-Driven UX Bots</w:t>
      </w:r>
      <w:r w:rsidRPr="00B554AF">
        <w:t xml:space="preserve"> simulate thousands of user journeys to identify friction points.</w:t>
      </w:r>
    </w:p>
    <w:p w14:paraId="2A430AEC" w14:textId="3DE7015C" w:rsidR="00CD7E15" w:rsidRPr="00B65461" w:rsidRDefault="00511DCC" w:rsidP="00B65461">
      <w:pPr>
        <w:pStyle w:val="CS-IBMBullet1"/>
      </w:pPr>
      <w:r w:rsidRPr="00FC79AE">
        <w:rPr>
          <w:b/>
          <w:bCs/>
        </w:rPr>
        <w:t>Quality Dashboards</w:t>
      </w:r>
      <w:r w:rsidRPr="00B554AF">
        <w:t xml:space="preserve"> consolidate functional, accessibility, and usability KPIs for decision-making transparency.</w:t>
      </w:r>
    </w:p>
    <w:p w14:paraId="2A493B95" w14:textId="77777777" w:rsidR="00A82685" w:rsidRPr="00B65461" w:rsidRDefault="00A82685" w:rsidP="00A82685">
      <w:pPr>
        <w:pStyle w:val="CS-IBMBullet1"/>
        <w:numPr>
          <w:ilvl w:val="0"/>
          <w:numId w:val="0"/>
        </w:numPr>
        <w:ind w:left="360" w:hanging="360"/>
      </w:pPr>
    </w:p>
    <w:p w14:paraId="3680758B" w14:textId="77777777" w:rsidR="00511DCC" w:rsidRPr="00CD7E15" w:rsidRDefault="00511DCC" w:rsidP="009664A5">
      <w:pPr>
        <w:pStyle w:val="CS-IBMResponseText"/>
        <w:spacing w:before="240"/>
        <w:rPr>
          <w:color w:val="0070C0"/>
          <w:sz w:val="28"/>
          <w:szCs w:val="28"/>
        </w:rPr>
      </w:pPr>
      <w:r w:rsidRPr="00CD7E15">
        <w:rPr>
          <w:color w:val="0070C0"/>
          <w:sz w:val="28"/>
          <w:szCs w:val="28"/>
        </w:rPr>
        <w:t>Proven Results</w:t>
      </w:r>
    </w:p>
    <w:p w14:paraId="792A20DF" w14:textId="77777777" w:rsidR="00511DCC" w:rsidRPr="00B554AF" w:rsidRDefault="00511DCC" w:rsidP="008E67B2">
      <w:pPr>
        <w:pStyle w:val="CS-IBMBullet1"/>
      </w:pPr>
      <w:r w:rsidRPr="008E67B2">
        <w:rPr>
          <w:b/>
          <w:bCs/>
        </w:rPr>
        <w:t xml:space="preserve">California MMIS: </w:t>
      </w:r>
      <w:r w:rsidRPr="00B554AF">
        <w:t>Persona-driven QA improved eligibility worker productivity by 20%.</w:t>
      </w:r>
    </w:p>
    <w:p w14:paraId="603C00DF" w14:textId="5C31E40D" w:rsidR="00511DCC" w:rsidRPr="00B554AF" w:rsidRDefault="00511DCC" w:rsidP="008E67B2">
      <w:pPr>
        <w:pStyle w:val="CS-IBMBullet1"/>
      </w:pPr>
      <w:r w:rsidRPr="008E67B2">
        <w:rPr>
          <w:b/>
          <w:bCs/>
        </w:rPr>
        <w:t xml:space="preserve">Federal Government Portal: </w:t>
      </w:r>
      <w:r w:rsidRPr="00B554AF">
        <w:t xml:space="preserve">Achieved </w:t>
      </w:r>
      <w:r w:rsidR="00FF021D" w:rsidRPr="00B554AF">
        <w:t>full WCAG</w:t>
      </w:r>
      <w:r w:rsidRPr="00B554AF">
        <w:t xml:space="preserve"> 2.1 AA compliance, improving citizen satisfaction by 15%.</w:t>
      </w:r>
    </w:p>
    <w:p w14:paraId="78FA6092" w14:textId="77777777" w:rsidR="00511DCC" w:rsidRPr="00B554AF" w:rsidRDefault="00511DCC" w:rsidP="008E67B2">
      <w:pPr>
        <w:pStyle w:val="CS-IBMBullet1"/>
      </w:pPr>
      <w:r w:rsidRPr="008E67B2">
        <w:rPr>
          <w:b/>
          <w:bCs/>
        </w:rPr>
        <w:t>Arizona DES:</w:t>
      </w:r>
      <w:r w:rsidRPr="00B554AF">
        <w:t xml:space="preserve"> UX-focused surge pods supported ACA-driven changes while maintaining on-time delivery.</w:t>
      </w:r>
    </w:p>
    <w:p w14:paraId="3857C104" w14:textId="77777777" w:rsidR="00CD7E15" w:rsidRPr="00CD7E15" w:rsidRDefault="00511DCC" w:rsidP="00CD7E15">
      <w:pPr>
        <w:pStyle w:val="CS-IBMBullet1"/>
      </w:pPr>
      <w:r w:rsidRPr="008E67B2">
        <w:rPr>
          <w:b/>
          <w:bCs/>
        </w:rPr>
        <w:t>Commercial Platform:</w:t>
      </w:r>
      <w:r w:rsidRPr="00B554AF">
        <w:t xml:space="preserve"> Automated cross-device validation reduced usability defects by 30%.</w:t>
      </w:r>
    </w:p>
    <w:p w14:paraId="773D18B4" w14:textId="77777777" w:rsidR="00A82685" w:rsidRPr="00CD7E15" w:rsidRDefault="00A82685" w:rsidP="00A82685">
      <w:pPr>
        <w:pStyle w:val="CS-IBMBullet1"/>
        <w:numPr>
          <w:ilvl w:val="0"/>
          <w:numId w:val="0"/>
        </w:numPr>
        <w:ind w:left="360" w:hanging="360"/>
      </w:pPr>
    </w:p>
    <w:p w14:paraId="19949996" w14:textId="77777777" w:rsidR="00511DCC" w:rsidRPr="00CD7E15" w:rsidRDefault="00511DCC" w:rsidP="009664A5">
      <w:pPr>
        <w:pStyle w:val="CS-IBMResponseText"/>
        <w:spacing w:before="240"/>
        <w:rPr>
          <w:color w:val="0070C0"/>
          <w:sz w:val="28"/>
          <w:szCs w:val="28"/>
        </w:rPr>
      </w:pPr>
      <w:r w:rsidRPr="00CD7E15">
        <w:rPr>
          <w:color w:val="0070C0"/>
          <w:sz w:val="28"/>
          <w:szCs w:val="28"/>
        </w:rPr>
        <w:lastRenderedPageBreak/>
        <w:t>Metrics and Outcomes</w:t>
      </w:r>
    </w:p>
    <w:p w14:paraId="74D4CEE1" w14:textId="77777777" w:rsidR="00511DCC" w:rsidRPr="00B554AF" w:rsidRDefault="00511DCC" w:rsidP="006620ED">
      <w:pPr>
        <w:pStyle w:val="CS-IBMBullet1"/>
      </w:pPr>
      <w:r w:rsidRPr="006620ED">
        <w:rPr>
          <w:b/>
          <w:bCs/>
        </w:rPr>
        <w:t>Accessibility compliance:</w:t>
      </w:r>
      <w:r w:rsidRPr="00B554AF">
        <w:t xml:space="preserve"> WCAG 2.1 AA standards met across releases.</w:t>
      </w:r>
    </w:p>
    <w:p w14:paraId="23118134" w14:textId="77777777" w:rsidR="00511DCC" w:rsidRPr="00B554AF" w:rsidRDefault="00511DCC" w:rsidP="006620ED">
      <w:pPr>
        <w:pStyle w:val="CS-IBMBullet1"/>
      </w:pPr>
      <w:r w:rsidRPr="006620ED">
        <w:rPr>
          <w:b/>
          <w:bCs/>
        </w:rPr>
        <w:t>Usability defect density:</w:t>
      </w:r>
      <w:r w:rsidRPr="00B554AF">
        <w:t xml:space="preserve"> Reduced across core citizen and worker workflows.</w:t>
      </w:r>
    </w:p>
    <w:p w14:paraId="71967E48" w14:textId="77777777" w:rsidR="00511DCC" w:rsidRPr="00B554AF" w:rsidRDefault="00511DCC" w:rsidP="006620ED">
      <w:pPr>
        <w:pStyle w:val="CS-IBMBullet1"/>
      </w:pPr>
      <w:r w:rsidRPr="006620ED">
        <w:rPr>
          <w:b/>
          <w:bCs/>
        </w:rPr>
        <w:t xml:space="preserve">Citizen satisfaction scores: </w:t>
      </w:r>
      <w:r w:rsidRPr="00B554AF">
        <w:t>Tracked and improved through iterative releases.</w:t>
      </w:r>
    </w:p>
    <w:p w14:paraId="35777A8E" w14:textId="77777777" w:rsidR="00511DCC" w:rsidRPr="00B554AF" w:rsidRDefault="00511DCC" w:rsidP="006620ED">
      <w:pPr>
        <w:pStyle w:val="CS-IBMBullet1"/>
      </w:pPr>
      <w:r w:rsidRPr="006620ED">
        <w:rPr>
          <w:b/>
          <w:bCs/>
        </w:rPr>
        <w:t xml:space="preserve">Task completion time: </w:t>
      </w:r>
      <w:r w:rsidRPr="00B554AF">
        <w:t>Measured reductions in steps and clicks for key functions.</w:t>
      </w:r>
    </w:p>
    <w:p w14:paraId="72B90470" w14:textId="4CCFF4A2" w:rsidR="00CD7E15" w:rsidRPr="00B65461" w:rsidRDefault="00511DCC" w:rsidP="00B65461">
      <w:pPr>
        <w:pStyle w:val="CS-IBMBullet1"/>
      </w:pPr>
      <w:r w:rsidRPr="006620ED">
        <w:rPr>
          <w:b/>
          <w:bCs/>
        </w:rPr>
        <w:t xml:space="preserve">Regression coverage: </w:t>
      </w:r>
      <w:r w:rsidRPr="00B554AF">
        <w:t>UX and accessibility scenarios included in standard regression packs.</w:t>
      </w:r>
    </w:p>
    <w:p w14:paraId="09A801E3" w14:textId="77777777" w:rsidR="00A82685" w:rsidRPr="00B65461" w:rsidRDefault="00A82685" w:rsidP="00A82685">
      <w:pPr>
        <w:pStyle w:val="CS-IBMBullet1"/>
        <w:numPr>
          <w:ilvl w:val="0"/>
          <w:numId w:val="0"/>
        </w:numPr>
        <w:ind w:left="360" w:hanging="360"/>
      </w:pPr>
    </w:p>
    <w:p w14:paraId="3CE272ED" w14:textId="77777777" w:rsidR="00511DCC" w:rsidRPr="00CD7E15" w:rsidRDefault="00511DCC" w:rsidP="009664A5">
      <w:pPr>
        <w:pStyle w:val="CS-IBMResponseText"/>
        <w:spacing w:before="240"/>
        <w:rPr>
          <w:color w:val="0070C0"/>
          <w:sz w:val="28"/>
          <w:szCs w:val="28"/>
        </w:rPr>
      </w:pPr>
      <w:r w:rsidRPr="00CD7E15">
        <w:rPr>
          <w:color w:val="0070C0"/>
          <w:sz w:val="28"/>
          <w:szCs w:val="28"/>
        </w:rPr>
        <w:t>Delivering an Inclusive CalSAWS Experience</w:t>
      </w:r>
    </w:p>
    <w:p w14:paraId="565FC264" w14:textId="768F491E" w:rsidR="00511DCC" w:rsidRPr="000E313E" w:rsidRDefault="00511DCC" w:rsidP="008E23FC">
      <w:pPr>
        <w:pStyle w:val="CS-IBMResponseText"/>
      </w:pPr>
      <w:r w:rsidRPr="000E313E">
        <w:t>For CalSAWS, quality means a platform that the Residents of California can trust and county staff can rely on every day. Our QA approach embeds UCD and UX principles into every phase of the lifecycle—ensuring that the system is not only functionally sound, but usable, inclusive, and designed for all Californians.</w:t>
      </w:r>
      <w:r w:rsidR="00D23084">
        <w:t xml:space="preserve"> IBM has proven t</w:t>
      </w:r>
      <w:r w:rsidR="00805574">
        <w:t>his approach in working in similar size and scope engagements, such as CalSAWS, within a multi-vendor environment.</w:t>
      </w:r>
    </w:p>
    <w:p w14:paraId="6AC6E2D6" w14:textId="77777777" w:rsidR="00CD7E15" w:rsidRDefault="00CD7E15" w:rsidP="008E23FC">
      <w:pPr>
        <w:pStyle w:val="CS-IBMResponseText"/>
        <w:rPr>
          <w:color w:val="0070C0"/>
          <w:sz w:val="28"/>
          <w:szCs w:val="28"/>
          <w:highlight w:val="yellow"/>
        </w:rPr>
      </w:pPr>
    </w:p>
    <w:p w14:paraId="595A1C67" w14:textId="77777777" w:rsidR="00511DCC" w:rsidRPr="00B554AF" w:rsidRDefault="00511DCC" w:rsidP="008E23FC">
      <w:pPr>
        <w:pStyle w:val="CS-IBMResponseText"/>
      </w:pPr>
    </w:p>
    <w:p w14:paraId="7C20E40C" w14:textId="2EB591FD" w:rsidR="00511DCC" w:rsidRPr="00CD7E15" w:rsidRDefault="00CD7E15" w:rsidP="00CD7E15">
      <w:pPr>
        <w:spacing w:before="0" w:after="0"/>
        <w:rPr>
          <w:rFonts w:eastAsia="Calibri" w:cs="Arial"/>
          <w:color w:val="0D0D0D" w:themeColor="text1" w:themeTint="F2"/>
          <w:szCs w:val="21"/>
        </w:rPr>
      </w:pPr>
      <w:r>
        <w:rPr>
          <w:rFonts w:eastAsia="Calibri"/>
        </w:rPr>
        <w:br w:type="page"/>
      </w:r>
    </w:p>
    <w:p w14:paraId="7953E31F" w14:textId="69AFEED7" w:rsidR="00511DCC" w:rsidRPr="0087386F" w:rsidRDefault="00511DCC" w:rsidP="00F426FC">
      <w:pPr>
        <w:pStyle w:val="Heading3"/>
        <w:rPr>
          <w:color w:val="0070C0"/>
          <w:sz w:val="28"/>
          <w:szCs w:val="28"/>
        </w:rPr>
      </w:pPr>
      <w:r w:rsidRPr="00B554AF">
        <w:rPr>
          <w:rFonts w:eastAsia="Century Gothic"/>
        </w:rPr>
        <w:lastRenderedPageBreak/>
        <w:t xml:space="preserve"> </w:t>
      </w:r>
      <w:bookmarkStart w:id="70" w:name="_Toc213070153"/>
      <w:r w:rsidRPr="00B554AF">
        <w:rPr>
          <w:rFonts w:eastAsia="Century Gothic"/>
        </w:rPr>
        <w:t>UA8</w:t>
      </w:r>
      <w:r w:rsidR="00135F16">
        <w:rPr>
          <w:rFonts w:eastAsia="Century Gothic"/>
        </w:rPr>
        <w:t xml:space="preserve"> –</w:t>
      </w:r>
      <w:r w:rsidR="00231515">
        <w:rPr>
          <w:rFonts w:eastAsia="Century Gothic"/>
        </w:rPr>
        <w:t xml:space="preserve"> </w:t>
      </w:r>
      <w:r w:rsidRPr="0087386F">
        <w:rPr>
          <w:color w:val="0070C0"/>
          <w:sz w:val="28"/>
          <w:szCs w:val="28"/>
        </w:rPr>
        <w:t>Understanding the Consortium’s Vision for Automation</w:t>
      </w:r>
      <w:bookmarkEnd w:id="70"/>
    </w:p>
    <w:p w14:paraId="3330DA57" w14:textId="77777777" w:rsidR="00DB6FA4" w:rsidRPr="002476AC" w:rsidRDefault="00DB6FA4" w:rsidP="00CF7600">
      <w:pPr>
        <w:pStyle w:val="CS-RFPBodyText"/>
        <w:numPr>
          <w:ilvl w:val="0"/>
          <w:numId w:val="39"/>
        </w:numPr>
        <w:spacing w:before="0" w:after="0"/>
        <w:rPr>
          <w:i/>
          <w:szCs w:val="22"/>
        </w:rPr>
      </w:pPr>
      <w:r w:rsidRPr="002476AC">
        <w:rPr>
          <w:i/>
          <w:szCs w:val="22"/>
        </w:rPr>
        <w:t xml:space="preserve">The Consortium has identified a number of key vision elements within its recent procurement documents.  </w:t>
      </w:r>
    </w:p>
    <w:p w14:paraId="743518BD" w14:textId="77777777" w:rsidR="00DB6FA4" w:rsidRPr="002476AC" w:rsidRDefault="00DB6FA4" w:rsidP="00CF7600">
      <w:pPr>
        <w:pStyle w:val="CS-RFPBodyText"/>
        <w:numPr>
          <w:ilvl w:val="0"/>
          <w:numId w:val="39"/>
        </w:numPr>
        <w:spacing w:before="0" w:after="0"/>
        <w:rPr>
          <w:i/>
          <w:szCs w:val="22"/>
        </w:rPr>
      </w:pPr>
      <w:r w:rsidRPr="002476AC">
        <w:rPr>
          <w:i/>
          <w:szCs w:val="22"/>
        </w:rPr>
        <w:t>Describe the key factors within your QA approach that will support the evolution and advancement of Automated Regression Testing within CalSAWS.</w:t>
      </w:r>
    </w:p>
    <w:p w14:paraId="34030266" w14:textId="77777777" w:rsidR="00DB6FA4" w:rsidRPr="002476AC" w:rsidRDefault="00DB6FA4" w:rsidP="00CF7600">
      <w:pPr>
        <w:pStyle w:val="CS-RFPBodyText"/>
        <w:numPr>
          <w:ilvl w:val="0"/>
          <w:numId w:val="39"/>
        </w:numPr>
        <w:spacing w:before="0" w:after="0"/>
        <w:rPr>
          <w:i/>
          <w:szCs w:val="22"/>
        </w:rPr>
      </w:pPr>
      <w:r w:rsidRPr="002476AC">
        <w:rPr>
          <w:i/>
          <w:szCs w:val="22"/>
        </w:rPr>
        <w:t>Provide demonstrated examples from previous QA projects as applicable.</w:t>
      </w:r>
    </w:p>
    <w:p w14:paraId="43E54CFE" w14:textId="77777777" w:rsidR="0073445D" w:rsidRDefault="0073445D" w:rsidP="0073445D">
      <w:pPr>
        <w:pStyle w:val="CS-IBMResponseText"/>
        <w:rPr>
          <w:color w:val="0070C0"/>
          <w:sz w:val="28"/>
          <w:szCs w:val="28"/>
        </w:rPr>
      </w:pPr>
    </w:p>
    <w:p w14:paraId="1E6DDA05" w14:textId="6340B179" w:rsidR="0073445D" w:rsidRPr="0073445D" w:rsidRDefault="0073445D" w:rsidP="0073445D">
      <w:pPr>
        <w:pStyle w:val="CS-IBMResponseText"/>
        <w:rPr>
          <w:color w:val="0070C0"/>
          <w:sz w:val="28"/>
          <w:szCs w:val="28"/>
        </w:rPr>
      </w:pPr>
      <w:r w:rsidRPr="00CA2B9A">
        <w:rPr>
          <w:color w:val="0070C0"/>
          <w:sz w:val="28"/>
          <w:szCs w:val="28"/>
        </w:rPr>
        <w:t>Introduction</w:t>
      </w:r>
      <w:r w:rsidRPr="0073445D">
        <w:rPr>
          <w:color w:val="0070C0"/>
          <w:sz w:val="28"/>
          <w:szCs w:val="28"/>
        </w:rPr>
        <w:t xml:space="preserve"> </w:t>
      </w:r>
    </w:p>
    <w:p w14:paraId="223D11AD" w14:textId="77777777" w:rsidR="00511DCC" w:rsidRPr="000E313E" w:rsidRDefault="00511DCC" w:rsidP="008E23FC">
      <w:pPr>
        <w:pStyle w:val="CS-IBMResponseText"/>
      </w:pPr>
      <w:r w:rsidRPr="000E313E">
        <w:t>The CalSAWS Consortium has positioned automation as a core enabler of quality, speed, and reliability—not a supplemental feature. For a statewide platform that serves all 58 counties and millions of Californians, automation is essential to sustaining performance and consistency across continuous policy, technology, and legislative change.</w:t>
      </w:r>
    </w:p>
    <w:p w14:paraId="1BDBE59A" w14:textId="77777777" w:rsidR="00511DCC" w:rsidRPr="000E313E" w:rsidRDefault="00511DCC" w:rsidP="008E23FC">
      <w:pPr>
        <w:pStyle w:val="CS-IBMResponseText"/>
      </w:pPr>
      <w:r w:rsidRPr="000E313E">
        <w:t>CalSAWS operates within a complex, multi-vendor ecosystem where releases must align across development, integration, and county readiness cycles. Without automation, regression testing becomes a bottleneck—manual packs grow too large, testing cycles slow down, and the cost of maintaining coverage increases with every enhancement. The result is delayed deployments and potential disruption to benefit delivery.</w:t>
      </w:r>
    </w:p>
    <w:p w14:paraId="5E0410EC" w14:textId="77777777" w:rsidR="00511DCC" w:rsidRPr="000E313E" w:rsidRDefault="00511DCC" w:rsidP="008E23FC">
      <w:pPr>
        <w:pStyle w:val="CS-IBMResponseText"/>
      </w:pPr>
      <w:r w:rsidRPr="000E313E">
        <w:t>The Consortium’s vision is clear: move beyond manual testing to a model where automation is engineered into the lifecycle itself—reducing human effort, accelerating validation, and ensuring quality keeps pace with innovation.</w:t>
      </w:r>
    </w:p>
    <w:p w14:paraId="5D0A0E9D" w14:textId="77777777" w:rsidR="00511DCC" w:rsidRPr="000E313E" w:rsidRDefault="00511DCC" w:rsidP="008E23FC">
      <w:pPr>
        <w:pStyle w:val="CS-IBMResponseText"/>
      </w:pPr>
      <w:r w:rsidRPr="000E313E">
        <w:t>Our approach directly supports that vision. We treat regression automation as an engineering discipline, not a downstream task. Automation is integrated with CalSAWS’ DevSecOps and Agile practices, ensuring that every code change is validated continuously and efficiently.</w:t>
      </w:r>
    </w:p>
    <w:p w14:paraId="65DF97EA" w14:textId="77777777" w:rsidR="00511DCC" w:rsidRPr="00B554AF" w:rsidRDefault="00511DCC" w:rsidP="008E23FC">
      <w:pPr>
        <w:pStyle w:val="CS-IBMResponseText"/>
      </w:pPr>
      <w:r w:rsidRPr="00B554AF">
        <w:t>Key elements of this approach include:</w:t>
      </w:r>
    </w:p>
    <w:p w14:paraId="4DD3E803" w14:textId="77777777" w:rsidR="00511DCC" w:rsidRPr="00B554AF" w:rsidRDefault="00511DCC" w:rsidP="005121FB">
      <w:pPr>
        <w:pStyle w:val="CS-IBMBullet1"/>
      </w:pPr>
      <w:r w:rsidRPr="005121FB">
        <w:rPr>
          <w:b/>
          <w:bCs/>
        </w:rPr>
        <w:t xml:space="preserve">Optimization before automation: </w:t>
      </w:r>
      <w:r w:rsidRPr="00B554AF">
        <w:t>Regression suites are analyzed for redundancy and streamlined before automation begins, ensuring efficiency and maintainability.</w:t>
      </w:r>
    </w:p>
    <w:p w14:paraId="5578AC88" w14:textId="77777777" w:rsidR="00511DCC" w:rsidRPr="00B554AF" w:rsidRDefault="00511DCC" w:rsidP="005121FB">
      <w:pPr>
        <w:pStyle w:val="CS-IBMBullet1"/>
      </w:pPr>
      <w:r w:rsidRPr="005121FB">
        <w:rPr>
          <w:b/>
          <w:bCs/>
        </w:rPr>
        <w:t xml:space="preserve">Continuous integration and delivery (CI/CD) alignment: </w:t>
      </w:r>
      <w:r w:rsidRPr="00B554AF">
        <w:t>Automation is built into pipelines so tests run automatically with every build, providing rapid feedback.</w:t>
      </w:r>
    </w:p>
    <w:p w14:paraId="117FB766" w14:textId="77777777" w:rsidR="00511DCC" w:rsidRPr="00B554AF" w:rsidRDefault="00511DCC" w:rsidP="005121FB">
      <w:pPr>
        <w:pStyle w:val="CS-IBMBullet1"/>
      </w:pPr>
      <w:r w:rsidRPr="005121FB">
        <w:rPr>
          <w:b/>
          <w:bCs/>
        </w:rPr>
        <w:t xml:space="preserve">AI-enabled adaptability: </w:t>
      </w:r>
      <w:r w:rsidRPr="00B554AF">
        <w:t>Self-healing scripts and predictive analytics maintain resilience even as the system evolves.</w:t>
      </w:r>
    </w:p>
    <w:p w14:paraId="6BAB7D4C" w14:textId="66B5BBC0" w:rsidR="00511DCC" w:rsidRPr="00B554AF" w:rsidRDefault="00511DCC" w:rsidP="005121FB">
      <w:pPr>
        <w:pStyle w:val="CS-IBMBullet1"/>
      </w:pPr>
      <w:r w:rsidRPr="005121FB">
        <w:rPr>
          <w:b/>
          <w:bCs/>
        </w:rPr>
        <w:t xml:space="preserve">Evergreen regression packs: </w:t>
      </w:r>
      <w:r w:rsidR="009E17AC">
        <w:t>Au</w:t>
      </w:r>
      <w:r w:rsidRPr="00B554AF">
        <w:t>tomated suites are continuously updated to reflect new policy, interface, and usability changes.</w:t>
      </w:r>
    </w:p>
    <w:p w14:paraId="2CF2C41F" w14:textId="651ACA7F" w:rsidR="00511DCC" w:rsidRPr="000E313E" w:rsidRDefault="00511DCC" w:rsidP="008E23FC">
      <w:pPr>
        <w:pStyle w:val="CS-IBMResponseText"/>
      </w:pPr>
      <w:r w:rsidRPr="000E313E">
        <w:t>Through this model, regression testing becomes a driver of speed and confidence rather than a constraint—helping CalSAWS deliver timely, accurate, and secure services to counties and the Residents of California while reducing overall cost and risk.</w:t>
      </w:r>
    </w:p>
    <w:p w14:paraId="48F7D0BD" w14:textId="77777777" w:rsidR="00511DCC" w:rsidRPr="006661ED" w:rsidRDefault="00511DCC" w:rsidP="008E23FC">
      <w:pPr>
        <w:pStyle w:val="CS-IBMResponseText"/>
        <w:rPr>
          <w:b/>
          <w:bCs/>
        </w:rPr>
      </w:pPr>
      <w:r w:rsidRPr="006661ED">
        <w:rPr>
          <w:b/>
          <w:bCs/>
        </w:rPr>
        <w:t>Approach to Regression Automation within the CalSAWS Environment</w:t>
      </w:r>
    </w:p>
    <w:p w14:paraId="660FCE2E" w14:textId="4FD745B3" w:rsidR="00511DCC" w:rsidRPr="00B554AF" w:rsidRDefault="00511DCC" w:rsidP="008E23FC">
      <w:pPr>
        <w:pStyle w:val="CS-IBMResponseText"/>
      </w:pPr>
      <w:r w:rsidRPr="00B554AF">
        <w:t xml:space="preserve">Regression testing is the foundation of quality assurance for a system as large, interconnected, and mission-critical as CalSAWS. Each release—whether a small defect fix, a statewide policy mandate, or a modernization update—must preserve the </w:t>
      </w:r>
      <w:r w:rsidRPr="00B554AF">
        <w:lastRenderedPageBreak/>
        <w:t>integrity of existing functionality while introducing new capabilities that support counties and the Residents of California.</w:t>
      </w:r>
    </w:p>
    <w:p w14:paraId="0765ADA8" w14:textId="77777777" w:rsidR="00511DCC" w:rsidRPr="00B554AF" w:rsidRDefault="00511DCC" w:rsidP="008E23FC">
      <w:pPr>
        <w:pStyle w:val="CS-IBMResponseText"/>
      </w:pPr>
      <w:r w:rsidRPr="00B554AF">
        <w:t>For a platform that supports millions of Californians and thousands of county workers, a missed regression defect is not simply a technical issue; it can delay benefits, erode trust, and increase cost through rework and county-level escalation.</w:t>
      </w:r>
    </w:p>
    <w:p w14:paraId="62C3AB92" w14:textId="77777777" w:rsidR="00511DCC" w:rsidRPr="00B554AF" w:rsidRDefault="00511DCC" w:rsidP="008E23FC">
      <w:pPr>
        <w:pStyle w:val="CS-IBMResponseText"/>
      </w:pPr>
      <w:r w:rsidRPr="00B554AF">
        <w:t>Traditional regression approaches cannot keep pace with CalSAWS’ scale and frequency of change. Over time, manual suites grow too large to maintain, overlapping test cases slow down execution, and release cycles extend from days to weeks. These inefficiencies limit the Consortium’s agility in responding to urgent legislative or policy-driven requirements.</w:t>
      </w:r>
    </w:p>
    <w:p w14:paraId="0799D9F5" w14:textId="77777777" w:rsidR="00511DCC" w:rsidRPr="000E313E" w:rsidRDefault="00511DCC" w:rsidP="008E23FC">
      <w:pPr>
        <w:pStyle w:val="CS-IBMResponseText"/>
      </w:pPr>
      <w:r w:rsidRPr="000E313E">
        <w:t>To meet these demands, regression must evolve into a disciplined engineering practice—one that combines automation, optimization, and intelligence to ensure both quality and speed. Our approach to regression automation builds on the principles of Quality Engineering (QE), aligning with CalSAWS’ goals for innovation, efficiency, and service continuity.</w:t>
      </w:r>
    </w:p>
    <w:p w14:paraId="344B3E48" w14:textId="77777777" w:rsidR="00511DCC" w:rsidRPr="00B554AF" w:rsidRDefault="00511DCC" w:rsidP="008E23FC">
      <w:pPr>
        <w:pStyle w:val="CS-IBMResponseText"/>
      </w:pPr>
      <w:r w:rsidRPr="00B554AF">
        <w:t>In CalSAWS, regression automation will be:</w:t>
      </w:r>
    </w:p>
    <w:p w14:paraId="45A1256D" w14:textId="77777777" w:rsidR="00511DCC" w:rsidRPr="00B554AF" w:rsidRDefault="00511DCC" w:rsidP="00207193">
      <w:pPr>
        <w:pStyle w:val="CS-IBMBullet1"/>
      </w:pPr>
      <w:r w:rsidRPr="00207193">
        <w:rPr>
          <w:b/>
          <w:bCs/>
        </w:rPr>
        <w:t>Lean</w:t>
      </w:r>
      <w:r w:rsidRPr="00B554AF">
        <w:t>: Regression suites are streamlined to remove redundancies while ensuring comprehensive coverage of business and technical rules.</w:t>
      </w:r>
    </w:p>
    <w:p w14:paraId="52259532" w14:textId="77777777" w:rsidR="00511DCC" w:rsidRPr="00B554AF" w:rsidRDefault="00511DCC" w:rsidP="00207193">
      <w:pPr>
        <w:pStyle w:val="CS-IBMBullet1"/>
      </w:pPr>
      <w:r w:rsidRPr="00207193">
        <w:rPr>
          <w:b/>
          <w:bCs/>
        </w:rPr>
        <w:t>Automated</w:t>
      </w:r>
      <w:r w:rsidRPr="00B554AF">
        <w:t>: Tests run continuously with minimal manual intervention, integrated directly into existing DevSecOps and Agile delivery pipelines.</w:t>
      </w:r>
    </w:p>
    <w:p w14:paraId="06D98DC3" w14:textId="77777777" w:rsidR="00511DCC" w:rsidRPr="00B554AF" w:rsidRDefault="00511DCC" w:rsidP="00207193">
      <w:pPr>
        <w:pStyle w:val="CS-IBMBullet1"/>
      </w:pPr>
      <w:r w:rsidRPr="00207193">
        <w:rPr>
          <w:b/>
          <w:bCs/>
        </w:rPr>
        <w:t>Intelligent</w:t>
      </w:r>
      <w:r w:rsidRPr="00B554AF">
        <w:t>: AI-enabled self-healing scripts and predictive analytics maintain stability even as system interfaces evolve.</w:t>
      </w:r>
    </w:p>
    <w:p w14:paraId="63202936" w14:textId="77777777" w:rsidR="00511DCC" w:rsidRPr="00B554AF" w:rsidRDefault="00511DCC" w:rsidP="00207193">
      <w:pPr>
        <w:pStyle w:val="CS-IBMBullet1"/>
      </w:pPr>
      <w:r w:rsidRPr="00207193">
        <w:rPr>
          <w:b/>
          <w:bCs/>
        </w:rPr>
        <w:t>Integrated</w:t>
      </w:r>
      <w:r w:rsidRPr="00B554AF">
        <w:t>: Regression activities are embedded in CI/CD pipelines, providing immediate feedback on each build’s impact to existing functionality.</w:t>
      </w:r>
    </w:p>
    <w:p w14:paraId="63D9DF5F" w14:textId="1099BC85" w:rsidR="00511DCC" w:rsidRPr="00B554AF" w:rsidRDefault="00511DCC" w:rsidP="00207193">
      <w:pPr>
        <w:pStyle w:val="CS-IBMBullet1"/>
      </w:pPr>
      <w:r w:rsidRPr="00207193">
        <w:rPr>
          <w:b/>
          <w:bCs/>
        </w:rPr>
        <w:t>Future-ready</w:t>
      </w:r>
      <w:r w:rsidRPr="00B554AF">
        <w:t>: Suites are designed to scale with new technologies and evolving resident-facing channels, from APIs to mobile applications.</w:t>
      </w:r>
    </w:p>
    <w:p w14:paraId="385B28C9" w14:textId="77777777" w:rsidR="00511DCC" w:rsidRPr="00B554AF" w:rsidRDefault="00511DCC" w:rsidP="008E23FC">
      <w:pPr>
        <w:pStyle w:val="CS-IBMResponseText"/>
      </w:pPr>
      <w:r w:rsidRPr="00B554AF">
        <w:t>It is critical, especially in a multi-vendor environment to work in collaboration, whether with Deloitte on the M&amp;O side, or Gainwell on the Infrastructure side to analyze and examine ways of embedding technology that helps to improve the overall quality of not only the QA processes but the overall CalSAWS environment. To that end, IBM plans to find ways of identifying and working with the vendors to incorporate technology that helps to improve quality, where necessary.</w:t>
      </w:r>
    </w:p>
    <w:p w14:paraId="3FE21C04" w14:textId="77777777" w:rsidR="00511DCC" w:rsidRPr="000E313E" w:rsidRDefault="00511DCC" w:rsidP="00D53686">
      <w:pPr>
        <w:pStyle w:val="CS-IBMResponseText"/>
      </w:pPr>
      <w:r w:rsidRPr="000E313E">
        <w:t>This approach transforms regression testing from a labor-intensive checkpoint into a proactive quality engine that safeguards CalSAWS’ performance and reliability while reducing the total cost of testing.</w:t>
      </w:r>
    </w:p>
    <w:p w14:paraId="60599420" w14:textId="77777777" w:rsidR="00511DCC" w:rsidRPr="00B554AF" w:rsidRDefault="00511DCC" w:rsidP="008E23FC">
      <w:pPr>
        <w:pStyle w:val="CS-IBMResponseText"/>
      </w:pPr>
      <w:r w:rsidRPr="000E313E">
        <w:t>Across comparable statewide programs, including California’s MMIS mode</w:t>
      </w:r>
      <w:r w:rsidRPr="00B554AF">
        <w:t>rnization and other large Health and Human Services (HHS) initiatives, this model has:</w:t>
      </w:r>
    </w:p>
    <w:p w14:paraId="6794852F" w14:textId="77777777" w:rsidR="00511DCC" w:rsidRPr="001153A2" w:rsidRDefault="00511DCC" w:rsidP="006D44D0">
      <w:pPr>
        <w:pStyle w:val="CS-IBMBullet1"/>
        <w:rPr>
          <w:b/>
          <w:bCs/>
        </w:rPr>
      </w:pPr>
      <w:r w:rsidRPr="00B554AF">
        <w:t xml:space="preserve">Reduced regression cycles by </w:t>
      </w:r>
      <w:r w:rsidRPr="001153A2">
        <w:rPr>
          <w:b/>
          <w:bCs/>
        </w:rPr>
        <w:t>40–70%.</w:t>
      </w:r>
    </w:p>
    <w:p w14:paraId="47C65C0D" w14:textId="77777777" w:rsidR="00511DCC" w:rsidRPr="00B554AF" w:rsidRDefault="00511DCC" w:rsidP="006D44D0">
      <w:pPr>
        <w:pStyle w:val="CS-IBMBullet1"/>
      </w:pPr>
      <w:r w:rsidRPr="00B554AF">
        <w:t>Lowered annual execution costs by hundreds of thousands of dollars.</w:t>
      </w:r>
    </w:p>
    <w:p w14:paraId="1FC641DB" w14:textId="77777777" w:rsidR="00511DCC" w:rsidRPr="00505E75" w:rsidRDefault="00511DCC" w:rsidP="006D44D0">
      <w:pPr>
        <w:pStyle w:val="CS-IBMBullet1"/>
        <w:rPr>
          <w:b/>
          <w:bCs/>
        </w:rPr>
      </w:pPr>
      <w:r w:rsidRPr="00B554AF">
        <w:t xml:space="preserve">Maintained </w:t>
      </w:r>
      <w:r w:rsidRPr="00505E75">
        <w:rPr>
          <w:b/>
          <w:bCs/>
        </w:rPr>
        <w:t>production defect leakage below 1%.</w:t>
      </w:r>
    </w:p>
    <w:p w14:paraId="13D92DF3" w14:textId="77777777" w:rsidR="00511DCC" w:rsidRPr="00B554AF" w:rsidRDefault="00511DCC" w:rsidP="008E23FC">
      <w:pPr>
        <w:pStyle w:val="CS-IBMResponseText"/>
      </w:pPr>
      <w:r w:rsidRPr="00B554AF">
        <w:lastRenderedPageBreak/>
        <w:t>For CalSAWS, these same principles will be adapted to the Consortium’s unique governance structure, multi-vendor environment, and mission to deliver accurate, timely, and equitable benefits to Californians.</w:t>
      </w:r>
    </w:p>
    <w:p w14:paraId="5C13E7CB" w14:textId="77777777" w:rsidR="002458C9" w:rsidRDefault="002458C9" w:rsidP="008E23FC">
      <w:pPr>
        <w:pStyle w:val="CS-IBMResponseText"/>
        <w:rPr>
          <w:color w:val="0070C0"/>
          <w:sz w:val="28"/>
          <w:szCs w:val="28"/>
        </w:rPr>
      </w:pPr>
    </w:p>
    <w:p w14:paraId="48E3AF8E" w14:textId="77777777" w:rsidR="00511DCC" w:rsidRPr="00ED0898" w:rsidRDefault="00511DCC" w:rsidP="008E23FC">
      <w:pPr>
        <w:pStyle w:val="CS-IBMResponseText"/>
        <w:rPr>
          <w:color w:val="0070C0"/>
          <w:sz w:val="28"/>
          <w:szCs w:val="28"/>
        </w:rPr>
      </w:pPr>
      <w:r w:rsidRPr="00ED0898">
        <w:rPr>
          <w:color w:val="0070C0"/>
          <w:sz w:val="28"/>
          <w:szCs w:val="28"/>
        </w:rPr>
        <w:t>Approach to Advancing Automated Regression Testing within CalSAWS</w:t>
      </w:r>
    </w:p>
    <w:p w14:paraId="61D2BE04" w14:textId="74E201A5" w:rsidR="00511DCC" w:rsidRPr="000E313E" w:rsidRDefault="00511DCC" w:rsidP="008E23FC">
      <w:pPr>
        <w:pStyle w:val="CS-IBMResponseText"/>
      </w:pPr>
      <w:r w:rsidRPr="000E313E">
        <w:t>CalSAWS operates in a complex environment—multiple vendors, policy-driven releases, and a statewide mandate for uninterrupted service delivery. In this context, automation is not about speed for its own sake; it’s about maintaining confidence that every release preserves critical functionality while enabling new capabilities for counties and the Residents of California.</w:t>
      </w:r>
    </w:p>
    <w:p w14:paraId="6CD07AB7" w14:textId="77777777" w:rsidR="00511DCC" w:rsidRPr="000E313E" w:rsidRDefault="00511DCC" w:rsidP="008E23FC">
      <w:pPr>
        <w:pStyle w:val="CS-IBMResponseText"/>
      </w:pPr>
      <w:r w:rsidRPr="000E313E">
        <w:t>Our approach rests on five interconnected practices designed to make regression automation a core CalSAWS capability—scalable, intelligent, and continuously improving.</w:t>
      </w:r>
    </w:p>
    <w:p w14:paraId="1500A177" w14:textId="77777777" w:rsidR="00511DCC" w:rsidRPr="00FA64CE" w:rsidRDefault="00511DCC" w:rsidP="008E23FC">
      <w:pPr>
        <w:pStyle w:val="CS-IBMResponseText"/>
        <w:rPr>
          <w:b/>
          <w:bCs/>
        </w:rPr>
      </w:pPr>
      <w:r w:rsidRPr="00FA64CE">
        <w:rPr>
          <w:b/>
          <w:bCs/>
        </w:rPr>
        <w:t>1. Optimize Before Automate</w:t>
      </w:r>
    </w:p>
    <w:p w14:paraId="543F03C2" w14:textId="77777777" w:rsidR="00511DCC" w:rsidRPr="000E313E" w:rsidRDefault="00511DCC" w:rsidP="008E23FC">
      <w:pPr>
        <w:pStyle w:val="CS-IBMResponseText"/>
      </w:pPr>
      <w:r w:rsidRPr="000E313E">
        <w:t>Automation succeeds only when built on a lean foundation. Many large systems automate bloated regression packs, locking in inefficiency. For CalSAWS, where release timelines and budgets are tightly governed, we first streamline before automating.</w:t>
      </w:r>
    </w:p>
    <w:p w14:paraId="108005CB" w14:textId="1A1FF704" w:rsidR="00511DCC" w:rsidRPr="00B554AF" w:rsidRDefault="00511DCC" w:rsidP="000F6599">
      <w:pPr>
        <w:pStyle w:val="CS-IBMBullet1"/>
      </w:pPr>
      <w:r w:rsidRPr="000F6599">
        <w:rPr>
          <w:b/>
          <w:bCs/>
        </w:rPr>
        <w:t>Combinatorial Test Design (CTD)</w:t>
      </w:r>
      <w:r w:rsidRPr="00B554AF">
        <w:t>: An accelerator that helps test</w:t>
      </w:r>
      <w:r w:rsidR="00A742E2">
        <w:t>,</w:t>
      </w:r>
      <w:r w:rsidRPr="00B554AF">
        <w:t xml:space="preserve"> design, and provide complete test coverage. By analyzing inputs, outputs, and dependencies across regression suites, we typically identify 40–70% redundancy. Eliminating overlap accelerates runs and reduces maintenance costs.</w:t>
      </w:r>
    </w:p>
    <w:p w14:paraId="1A6AE7D5" w14:textId="1D661426" w:rsidR="00511DCC" w:rsidRPr="00B554AF" w:rsidRDefault="00511DCC" w:rsidP="000F6599">
      <w:pPr>
        <w:pStyle w:val="CS-IBMBullet1"/>
      </w:pPr>
      <w:r w:rsidRPr="000F6599">
        <w:rPr>
          <w:b/>
          <w:bCs/>
        </w:rPr>
        <w:t>Risk-Based Prioritization</w:t>
      </w:r>
      <w:r w:rsidRPr="00B554AF">
        <w:t>: Test cases are scored by business impact and frequency of use, ensuring critical county and resident workflows are covered first.</w:t>
      </w:r>
    </w:p>
    <w:p w14:paraId="124C9ADE" w14:textId="77777777" w:rsidR="00511DCC" w:rsidRPr="00B554AF" w:rsidRDefault="00511DCC" w:rsidP="000F6599">
      <w:pPr>
        <w:pStyle w:val="CS-IBMBullet1"/>
      </w:pPr>
      <w:r w:rsidRPr="000F6599">
        <w:rPr>
          <w:b/>
          <w:bCs/>
        </w:rPr>
        <w:t>Coverage Validation</w:t>
      </w:r>
      <w:r w:rsidRPr="00B554AF">
        <w:t>: Tools confirm that optimization preserves required policy and eligibility rule coverage.</w:t>
      </w:r>
    </w:p>
    <w:p w14:paraId="1FDDEAE0" w14:textId="77777777" w:rsidR="00511DCC" w:rsidRPr="00B554AF" w:rsidRDefault="00511DCC" w:rsidP="00F133F5">
      <w:pPr>
        <w:pStyle w:val="CS-IBMResponseText"/>
      </w:pPr>
      <w:r w:rsidRPr="00F13FC2">
        <w:rPr>
          <w:u w:val="single"/>
        </w:rPr>
        <w:t>Impact</w:t>
      </w:r>
      <w:r w:rsidRPr="00B554AF">
        <w:t>: CalSAWS gains smaller, smarter regression packs that run faster, cost less, and deliver earlier confidence in release readiness.</w:t>
      </w:r>
    </w:p>
    <w:p w14:paraId="1F885E02" w14:textId="77777777" w:rsidR="00511DCC" w:rsidRPr="000F6599" w:rsidRDefault="00511DCC" w:rsidP="008E23FC">
      <w:pPr>
        <w:pStyle w:val="CS-IBMResponseText"/>
        <w:rPr>
          <w:b/>
          <w:bCs/>
        </w:rPr>
      </w:pPr>
      <w:r w:rsidRPr="000F6599">
        <w:rPr>
          <w:b/>
          <w:bCs/>
        </w:rPr>
        <w:t>2. Scriptless Automation for Broader Participation</w:t>
      </w:r>
    </w:p>
    <w:p w14:paraId="4D8B22E8" w14:textId="77777777" w:rsidR="00511DCC" w:rsidRPr="00B554AF" w:rsidRDefault="00511DCC" w:rsidP="008E23FC">
      <w:pPr>
        <w:pStyle w:val="CS-IBMResponseText"/>
      </w:pPr>
      <w:r w:rsidRPr="00B554AF">
        <w:t>Automation should empower every QA contributor, not just specialists. In CalSAWS, that includes QA analysts, business analysts, and county subject-matter experts.</w:t>
      </w:r>
    </w:p>
    <w:p w14:paraId="6DC6F040" w14:textId="77777777" w:rsidR="00511DCC" w:rsidRPr="00B554AF" w:rsidRDefault="00511DCC" w:rsidP="00F13FC2">
      <w:pPr>
        <w:pStyle w:val="CS-IBMBullet1"/>
      </w:pPr>
      <w:r w:rsidRPr="00F13FC2">
        <w:rPr>
          <w:b/>
          <w:bCs/>
        </w:rPr>
        <w:t>Natural-language scripting:</w:t>
      </w:r>
      <w:r w:rsidRPr="00B554AF">
        <w:t xml:space="preserve"> Tools translate plain-language test cases into executable scripts, reducing technical barriers.</w:t>
      </w:r>
    </w:p>
    <w:p w14:paraId="03FBBC84" w14:textId="77777777" w:rsidR="00511DCC" w:rsidRPr="00B554AF" w:rsidRDefault="00511DCC" w:rsidP="00F13FC2">
      <w:pPr>
        <w:pStyle w:val="CS-IBMBullet1"/>
      </w:pPr>
      <w:r w:rsidRPr="00F13FC2">
        <w:rPr>
          <w:b/>
          <w:bCs/>
        </w:rPr>
        <w:t xml:space="preserve">Reusable libraries: </w:t>
      </w:r>
      <w:r w:rsidRPr="00B554AF">
        <w:t>Shared components ensure consistent testing of cross-county processes and eligibility rules.</w:t>
      </w:r>
    </w:p>
    <w:p w14:paraId="6B7BD1C4" w14:textId="77777777" w:rsidR="00511DCC" w:rsidRPr="00B554AF" w:rsidRDefault="00511DCC" w:rsidP="00F13FC2">
      <w:pPr>
        <w:pStyle w:val="CS-IBMBullet1"/>
      </w:pPr>
      <w:r w:rsidRPr="00F13FC2">
        <w:rPr>
          <w:b/>
          <w:bCs/>
        </w:rPr>
        <w:t xml:space="preserve">Cross-skill enablement: </w:t>
      </w:r>
      <w:r w:rsidRPr="00B554AF">
        <w:t>Manual testers evolve into automation contributors without increasing headcount.</w:t>
      </w:r>
    </w:p>
    <w:p w14:paraId="082B46CA" w14:textId="77777777" w:rsidR="00511DCC" w:rsidRPr="00B554AF" w:rsidRDefault="00511DCC" w:rsidP="008E23FC">
      <w:pPr>
        <w:pStyle w:val="CS-IBMResponseText"/>
      </w:pPr>
      <w:r w:rsidRPr="00F13FC2">
        <w:rPr>
          <w:u w:val="single"/>
        </w:rPr>
        <w:t>Impact</w:t>
      </w:r>
      <w:r w:rsidRPr="00B554AF">
        <w:t>: By democratizing automation, CalSAWS accelerates regression coverage while building local, sustainable testing capability.</w:t>
      </w:r>
    </w:p>
    <w:p w14:paraId="7F476D26" w14:textId="77777777" w:rsidR="00511DCC" w:rsidRPr="00F13FC2" w:rsidRDefault="00511DCC" w:rsidP="008E23FC">
      <w:pPr>
        <w:pStyle w:val="CS-IBMResponseText"/>
        <w:rPr>
          <w:b/>
          <w:bCs/>
        </w:rPr>
      </w:pPr>
      <w:r w:rsidRPr="00F13FC2">
        <w:rPr>
          <w:b/>
          <w:bCs/>
        </w:rPr>
        <w:t>3. AI-Enabled Enhancements</w:t>
      </w:r>
    </w:p>
    <w:p w14:paraId="72334CBA" w14:textId="77777777" w:rsidR="00511DCC" w:rsidRPr="00B554AF" w:rsidRDefault="00511DCC" w:rsidP="008E23FC">
      <w:pPr>
        <w:pStyle w:val="CS-IBMResponseText"/>
      </w:pPr>
      <w:r w:rsidRPr="00B554AF">
        <w:lastRenderedPageBreak/>
        <w:t>AI ensures automation keeps pace with the rapid evolution of CalSAWS interfaces, APIs, and integration points.</w:t>
      </w:r>
    </w:p>
    <w:p w14:paraId="35137A93" w14:textId="77777777" w:rsidR="00511DCC" w:rsidRPr="00B554AF" w:rsidRDefault="00511DCC" w:rsidP="00550869">
      <w:pPr>
        <w:pStyle w:val="CS-IBMBullet1"/>
      </w:pPr>
      <w:r w:rsidRPr="00550869">
        <w:rPr>
          <w:b/>
          <w:bCs/>
        </w:rPr>
        <w:t>Self-healing scripts:</w:t>
      </w:r>
      <w:r w:rsidRPr="00B554AF">
        <w:t xml:space="preserve"> Automatically adapt to UI and data changes, reducing maintenance effort by 30–40%.</w:t>
      </w:r>
    </w:p>
    <w:p w14:paraId="47522EBF" w14:textId="77777777" w:rsidR="00511DCC" w:rsidRPr="00B554AF" w:rsidRDefault="00511DCC" w:rsidP="00550869">
      <w:pPr>
        <w:pStyle w:val="CS-IBMBullet1"/>
      </w:pPr>
      <w:r w:rsidRPr="00550869">
        <w:rPr>
          <w:b/>
          <w:bCs/>
        </w:rPr>
        <w:t>Defect prediction:</w:t>
      </w:r>
      <w:r w:rsidRPr="00B554AF">
        <w:t xml:space="preserve"> AI models use historical data to pinpoint modules most prone to regression, allowing proactive focus.</w:t>
      </w:r>
    </w:p>
    <w:p w14:paraId="36D82AF5" w14:textId="77777777" w:rsidR="00511DCC" w:rsidRPr="00B554AF" w:rsidRDefault="00511DCC" w:rsidP="00550869">
      <w:pPr>
        <w:pStyle w:val="CS-IBMBullet1"/>
      </w:pPr>
      <w:r w:rsidRPr="00550869">
        <w:rPr>
          <w:b/>
          <w:bCs/>
        </w:rPr>
        <w:t>Smart prioritization:</w:t>
      </w:r>
      <w:r w:rsidRPr="00B554AF">
        <w:t xml:space="preserve"> Regression suites are dynamically ordered to run high-risk cases first, accelerating feedback.</w:t>
      </w:r>
    </w:p>
    <w:p w14:paraId="1DF4BD1E" w14:textId="77777777" w:rsidR="00511DCC" w:rsidRPr="00B554AF" w:rsidRDefault="00511DCC" w:rsidP="008E23FC">
      <w:pPr>
        <w:pStyle w:val="CS-IBMResponseText"/>
      </w:pPr>
      <w:r w:rsidRPr="00550869">
        <w:rPr>
          <w:u w:val="single"/>
        </w:rPr>
        <w:t>Impact</w:t>
      </w:r>
      <w:r w:rsidRPr="00B554AF">
        <w:t>: CalSAWS gains resilience and efficiency—the automation adjusts as the system changes, not the other way around.</w:t>
      </w:r>
    </w:p>
    <w:p w14:paraId="5107DFA5" w14:textId="77777777" w:rsidR="00511DCC" w:rsidRPr="00550869" w:rsidRDefault="00511DCC" w:rsidP="009664A5">
      <w:pPr>
        <w:pStyle w:val="CS-IBMResponseText"/>
        <w:keepNext/>
        <w:rPr>
          <w:b/>
          <w:bCs/>
        </w:rPr>
      </w:pPr>
      <w:r w:rsidRPr="00550869">
        <w:rPr>
          <w:b/>
          <w:bCs/>
        </w:rPr>
        <w:t>4. Continuous Regression Execution</w:t>
      </w:r>
    </w:p>
    <w:p w14:paraId="361B9C2D" w14:textId="77777777" w:rsidR="00511DCC" w:rsidRPr="00B554AF" w:rsidRDefault="00511DCC" w:rsidP="008E23FC">
      <w:pPr>
        <w:pStyle w:val="CS-IBMResponseText"/>
      </w:pPr>
      <w:r w:rsidRPr="00B554AF">
        <w:t>Automation provides maximum value when it runs continuously within CalSAWS’ CI/CD and DevSecOps pipelines.</w:t>
      </w:r>
    </w:p>
    <w:p w14:paraId="5C433F04" w14:textId="77777777" w:rsidR="00511DCC" w:rsidRPr="00B554AF" w:rsidRDefault="00511DCC" w:rsidP="00FA0B0C">
      <w:pPr>
        <w:pStyle w:val="CS-IBMBullet1"/>
      </w:pPr>
      <w:r w:rsidRPr="00FA0B0C">
        <w:rPr>
          <w:b/>
          <w:bCs/>
        </w:rPr>
        <w:t>Nightly execution:</w:t>
      </w:r>
      <w:r w:rsidRPr="00B554AF">
        <w:t xml:space="preserve"> Automated regressions run nightly, identifying integration issues before the next day’s work begins.</w:t>
      </w:r>
    </w:p>
    <w:p w14:paraId="1AD56009" w14:textId="77777777" w:rsidR="00511DCC" w:rsidRPr="00B554AF" w:rsidRDefault="00511DCC" w:rsidP="00FA0B0C">
      <w:pPr>
        <w:pStyle w:val="CS-IBMBullet1"/>
      </w:pPr>
      <w:r w:rsidRPr="00FA0B0C">
        <w:rPr>
          <w:b/>
          <w:bCs/>
        </w:rPr>
        <w:t>Pipeline integration:</w:t>
      </w:r>
      <w:r w:rsidRPr="00B554AF">
        <w:t xml:space="preserve"> Suites trigger automatically upon code commits, aligning testing with ongoing vendor development.</w:t>
      </w:r>
    </w:p>
    <w:p w14:paraId="06D1FC1C" w14:textId="77777777" w:rsidR="00511DCC" w:rsidRPr="00B554AF" w:rsidRDefault="00511DCC" w:rsidP="00FA0B0C">
      <w:pPr>
        <w:pStyle w:val="CS-IBMBullet1"/>
      </w:pPr>
      <w:r w:rsidRPr="00FA0B0C">
        <w:rPr>
          <w:b/>
          <w:bCs/>
        </w:rPr>
        <w:t>Parallel execution:</w:t>
      </w:r>
      <w:r w:rsidRPr="00B554AF">
        <w:t xml:space="preserve"> Tests run concurrently across virtualized environments, cutting regression cycles from days to hours.</w:t>
      </w:r>
    </w:p>
    <w:p w14:paraId="40C1728C" w14:textId="77777777" w:rsidR="00511DCC" w:rsidRPr="00B554AF" w:rsidRDefault="00511DCC" w:rsidP="008E23FC">
      <w:pPr>
        <w:pStyle w:val="CS-IBMResponseText"/>
      </w:pPr>
      <w:r w:rsidRPr="00FA0B0C">
        <w:rPr>
          <w:u w:val="single"/>
        </w:rPr>
        <w:t>Impact</w:t>
      </w:r>
      <w:r w:rsidRPr="00B554AF">
        <w:t>: Continuous regression delivers faster, more predictable releases and helps CalSAWS respond rapidly to policy and legislative changes.</w:t>
      </w:r>
    </w:p>
    <w:p w14:paraId="58543D6C" w14:textId="77777777" w:rsidR="00511DCC" w:rsidRPr="00FA0B0C" w:rsidRDefault="00511DCC" w:rsidP="008E23FC">
      <w:pPr>
        <w:pStyle w:val="CS-IBMResponseText"/>
        <w:rPr>
          <w:b/>
          <w:bCs/>
        </w:rPr>
      </w:pPr>
      <w:r w:rsidRPr="00FA0B0C">
        <w:rPr>
          <w:b/>
          <w:bCs/>
        </w:rPr>
        <w:t>5. Security and Non-Functional Integration</w:t>
      </w:r>
    </w:p>
    <w:p w14:paraId="32C54CE6" w14:textId="77777777" w:rsidR="00511DCC" w:rsidRPr="000E313E" w:rsidRDefault="00511DCC" w:rsidP="008E23FC">
      <w:pPr>
        <w:pStyle w:val="CS-IBMResponseText"/>
      </w:pPr>
      <w:r w:rsidRPr="000E313E">
        <w:t>For CalSAWS, quality extends beyond functionality—it includes security, performance, and accessibility.</w:t>
      </w:r>
    </w:p>
    <w:p w14:paraId="5623E646" w14:textId="77777777" w:rsidR="00511DCC" w:rsidRPr="00B554AF" w:rsidRDefault="00511DCC" w:rsidP="002C0850">
      <w:pPr>
        <w:pStyle w:val="CS-IBMBullet1"/>
      </w:pPr>
      <w:r w:rsidRPr="002C0850">
        <w:rPr>
          <w:b/>
          <w:bCs/>
        </w:rPr>
        <w:t>API security testing:</w:t>
      </w:r>
      <w:r w:rsidRPr="00B554AF">
        <w:t xml:space="preserve"> Automated penetration checks protect data exchanges between counties and state partners.</w:t>
      </w:r>
    </w:p>
    <w:p w14:paraId="3A45F9A6" w14:textId="77777777" w:rsidR="00511DCC" w:rsidRPr="00B554AF" w:rsidRDefault="00511DCC" w:rsidP="002C0850">
      <w:pPr>
        <w:pStyle w:val="CS-IBMBullet1"/>
      </w:pPr>
      <w:r w:rsidRPr="002C0850">
        <w:rPr>
          <w:b/>
          <w:bCs/>
        </w:rPr>
        <w:t>Performance regression:</w:t>
      </w:r>
      <w:r w:rsidRPr="00B554AF">
        <w:t xml:space="preserve"> Baselines ensure that system updates maintain response times and throughput.</w:t>
      </w:r>
    </w:p>
    <w:p w14:paraId="29873690" w14:textId="77777777" w:rsidR="00511DCC" w:rsidRPr="00B554AF" w:rsidRDefault="00511DCC" w:rsidP="002C0850">
      <w:pPr>
        <w:pStyle w:val="CS-IBMBullet1"/>
      </w:pPr>
      <w:r w:rsidRPr="002C0850">
        <w:rPr>
          <w:b/>
          <w:bCs/>
        </w:rPr>
        <w:t xml:space="preserve">Accessibility regression: </w:t>
      </w:r>
      <w:r w:rsidRPr="00B554AF">
        <w:t>Automated scans confirm continued WCAG 2.1 AA and Section 508 compliance.</w:t>
      </w:r>
    </w:p>
    <w:p w14:paraId="3D30718F" w14:textId="74D5F079" w:rsidR="002458C9" w:rsidRPr="00856D79" w:rsidRDefault="00511DCC" w:rsidP="008E23FC">
      <w:pPr>
        <w:pStyle w:val="CS-IBMResponseText"/>
      </w:pPr>
      <w:r w:rsidRPr="002C0850">
        <w:rPr>
          <w:u w:val="single"/>
        </w:rPr>
        <w:t>Impact</w:t>
      </w:r>
      <w:r w:rsidRPr="00B554AF">
        <w:t>: Regression automation safeguards the full spectrum of CalSAWS quality—functionality, performance, and compliance.</w:t>
      </w:r>
    </w:p>
    <w:p w14:paraId="450509BA" w14:textId="77777777" w:rsidR="00A82685" w:rsidRPr="00856D79" w:rsidRDefault="00A82685" w:rsidP="008E23FC">
      <w:pPr>
        <w:pStyle w:val="CS-IBMResponseText"/>
      </w:pPr>
    </w:p>
    <w:p w14:paraId="499CD51A" w14:textId="77777777" w:rsidR="00511DCC" w:rsidRPr="00ED0898" w:rsidRDefault="00511DCC" w:rsidP="008E23FC">
      <w:pPr>
        <w:pStyle w:val="CS-IBMResponseText"/>
        <w:rPr>
          <w:color w:val="0070C0"/>
          <w:sz w:val="28"/>
          <w:szCs w:val="28"/>
        </w:rPr>
      </w:pPr>
      <w:r w:rsidRPr="00ED0898">
        <w:rPr>
          <w:color w:val="0070C0"/>
          <w:sz w:val="28"/>
          <w:szCs w:val="28"/>
        </w:rPr>
        <w:t>Enabling the Consortium’s QA Vision</w:t>
      </w:r>
    </w:p>
    <w:p w14:paraId="20A81366" w14:textId="701FBD5C" w:rsidR="00511DCC" w:rsidRPr="00B554AF" w:rsidRDefault="00511DCC" w:rsidP="008E23FC">
      <w:pPr>
        <w:pStyle w:val="CS-IBMResponseText"/>
      </w:pPr>
      <w:r w:rsidRPr="00B554AF">
        <w:t>Together, these pillars operationalize CalSAWS’ goals of innovation, efficiency, scalability, and resident focus:</w:t>
      </w:r>
    </w:p>
    <w:p w14:paraId="6AFCF86F" w14:textId="77777777" w:rsidR="00511DCC" w:rsidRPr="00B554AF" w:rsidRDefault="00511DCC" w:rsidP="00D564F4">
      <w:pPr>
        <w:pStyle w:val="CS-IBMBullet1"/>
      </w:pPr>
      <w:r w:rsidRPr="00D564F4">
        <w:rPr>
          <w:b/>
          <w:bCs/>
        </w:rPr>
        <w:t xml:space="preserve">AI and Innovation: </w:t>
      </w:r>
      <w:r w:rsidRPr="00B554AF">
        <w:t>Intelligent prioritization and self-healing automation turn regression into a predictive process.</w:t>
      </w:r>
    </w:p>
    <w:p w14:paraId="05D3A600" w14:textId="77777777" w:rsidR="00511DCC" w:rsidRPr="00B554AF" w:rsidRDefault="00511DCC" w:rsidP="00D564F4">
      <w:pPr>
        <w:pStyle w:val="CS-IBMBullet1"/>
      </w:pPr>
      <w:r w:rsidRPr="00D564F4">
        <w:rPr>
          <w:b/>
          <w:bCs/>
        </w:rPr>
        <w:t xml:space="preserve">Cost Efficiency: </w:t>
      </w:r>
      <w:r w:rsidRPr="00B554AF">
        <w:t>Optimization and AI reduce execution effort by up to 70%.</w:t>
      </w:r>
    </w:p>
    <w:p w14:paraId="2394023A" w14:textId="77777777" w:rsidR="00511DCC" w:rsidRPr="00B554AF" w:rsidRDefault="00511DCC" w:rsidP="00D564F4">
      <w:pPr>
        <w:pStyle w:val="CS-IBMBullet1"/>
      </w:pPr>
      <w:r w:rsidRPr="00D564F4">
        <w:rPr>
          <w:b/>
          <w:bCs/>
        </w:rPr>
        <w:lastRenderedPageBreak/>
        <w:t xml:space="preserve">Staff Empowerment: </w:t>
      </w:r>
      <w:r w:rsidRPr="00B554AF">
        <w:t>Manual testers and BAs become automation contributors, expanding coverage at no additional cost.</w:t>
      </w:r>
    </w:p>
    <w:p w14:paraId="002635B4" w14:textId="77777777" w:rsidR="00511DCC" w:rsidRPr="00B554AF" w:rsidRDefault="00511DCC" w:rsidP="00D564F4">
      <w:pPr>
        <w:pStyle w:val="CS-IBMBullet1"/>
      </w:pPr>
      <w:r w:rsidRPr="00D564F4">
        <w:rPr>
          <w:b/>
          <w:bCs/>
        </w:rPr>
        <w:t xml:space="preserve">Security Alignment: </w:t>
      </w:r>
      <w:r w:rsidRPr="00B554AF">
        <w:t>Functional and non-functional checks are integrated into regression, aligning with DevSecOps practices.</w:t>
      </w:r>
    </w:p>
    <w:p w14:paraId="54E6EA92" w14:textId="77777777" w:rsidR="00511DCC" w:rsidRPr="00B554AF" w:rsidRDefault="00511DCC" w:rsidP="00D564F4">
      <w:pPr>
        <w:pStyle w:val="CS-IBMBullet1"/>
      </w:pPr>
      <w:r w:rsidRPr="00D564F4">
        <w:rPr>
          <w:b/>
          <w:bCs/>
        </w:rPr>
        <w:t>Comprehensive Coverage:</w:t>
      </w:r>
      <w:r w:rsidRPr="00B554AF">
        <w:t xml:space="preserve"> Functional, performance, accessibility, and security testing are unified in one continuous quality cycle.</w:t>
      </w:r>
    </w:p>
    <w:p w14:paraId="58553079" w14:textId="77777777" w:rsidR="00856D79" w:rsidRPr="00B554AF" w:rsidRDefault="00856D79" w:rsidP="00856D79">
      <w:pPr>
        <w:pStyle w:val="CS-IBMBullet1"/>
        <w:numPr>
          <w:ilvl w:val="0"/>
          <w:numId w:val="0"/>
        </w:numPr>
        <w:ind w:left="360"/>
      </w:pPr>
    </w:p>
    <w:p w14:paraId="39C1B503" w14:textId="77777777" w:rsidR="00511DCC" w:rsidRPr="00ED0898" w:rsidRDefault="00511DCC" w:rsidP="009664A5">
      <w:pPr>
        <w:pStyle w:val="CS-IBMResponseText"/>
        <w:spacing w:before="240"/>
        <w:rPr>
          <w:color w:val="0070C0"/>
          <w:sz w:val="28"/>
          <w:szCs w:val="28"/>
        </w:rPr>
      </w:pPr>
      <w:r w:rsidRPr="00ED0898">
        <w:rPr>
          <w:color w:val="0070C0"/>
          <w:sz w:val="28"/>
          <w:szCs w:val="28"/>
        </w:rPr>
        <w:t>Operational Staffing for Regression Automation</w:t>
      </w:r>
    </w:p>
    <w:p w14:paraId="574A1160" w14:textId="77777777" w:rsidR="00511DCC" w:rsidRPr="00B554AF" w:rsidRDefault="00511DCC" w:rsidP="008E23FC">
      <w:pPr>
        <w:pStyle w:val="CS-IBMResponseText"/>
      </w:pPr>
      <w:r w:rsidRPr="00B554AF">
        <w:t>(See Section UA6 for the full Operational Staffing Model.) The same onsite/nearshore balance supports regression automation, enabling close coordination with CalSAWS governance while scaling efficiently to meet release and policy demands.</w:t>
      </w:r>
    </w:p>
    <w:p w14:paraId="4F896F2F" w14:textId="2AC43E3E" w:rsidR="00511DCC" w:rsidRPr="000E313E" w:rsidRDefault="00511DCC" w:rsidP="008E23FC">
      <w:pPr>
        <w:pStyle w:val="CS-IBMResponseText"/>
      </w:pPr>
      <w:r w:rsidRPr="000E313E">
        <w:t xml:space="preserve">Onsite QA leadership in </w:t>
      </w:r>
      <w:r w:rsidR="008A3F6C">
        <w:t>Gold River</w:t>
      </w:r>
      <w:r w:rsidR="008A3F6C" w:rsidRPr="000E313E">
        <w:t xml:space="preserve"> </w:t>
      </w:r>
      <w:r w:rsidRPr="000E313E">
        <w:t>anchors regression governance and vendor collaboration. Nearshore CIC surge pods in Lansing provide automation and performance engineering capacity that can increase by 30–40% within weeks, maintaining 95%+ retention and seamless knowledge transfer across releases.</w:t>
      </w:r>
    </w:p>
    <w:p w14:paraId="2BA72629" w14:textId="7663ADDE" w:rsidR="002458C9" w:rsidRPr="00B25A65" w:rsidRDefault="00511DCC" w:rsidP="008E23FC">
      <w:pPr>
        <w:pStyle w:val="CS-IBMResponseText"/>
      </w:pPr>
      <w:r w:rsidRPr="00B554AF">
        <w:t>This blended structure ensures regression automation remains sustainable, cost-efficient, and responsive to the Consortium’s evolving priorities.</w:t>
      </w:r>
    </w:p>
    <w:p w14:paraId="221F6907" w14:textId="77777777" w:rsidR="00A82685" w:rsidRPr="00B25A65" w:rsidRDefault="00A82685" w:rsidP="008E23FC">
      <w:pPr>
        <w:pStyle w:val="CS-IBMResponseText"/>
      </w:pPr>
    </w:p>
    <w:p w14:paraId="2061DA94" w14:textId="77777777" w:rsidR="00511DCC" w:rsidRPr="00ED0898" w:rsidRDefault="00511DCC" w:rsidP="008E23FC">
      <w:pPr>
        <w:pStyle w:val="CS-IBMResponseText"/>
        <w:rPr>
          <w:color w:val="0070C0"/>
          <w:sz w:val="28"/>
          <w:szCs w:val="28"/>
        </w:rPr>
      </w:pPr>
      <w:r w:rsidRPr="00ED0898">
        <w:rPr>
          <w:color w:val="0070C0"/>
          <w:sz w:val="28"/>
          <w:szCs w:val="28"/>
        </w:rPr>
        <w:t>Tools and Accelerators</w:t>
      </w:r>
    </w:p>
    <w:p w14:paraId="650B22F9" w14:textId="0CB05E2C" w:rsidR="00511DCC" w:rsidRPr="00B554AF" w:rsidRDefault="00511DCC" w:rsidP="008E23FC">
      <w:pPr>
        <w:pStyle w:val="CS-IBMResponseText"/>
      </w:pPr>
      <w:r w:rsidRPr="00B554AF">
        <w:t>Our automation toolkit is intended to integrate seamlessly with CalSAWS’ existing environments:. The intent is based on IBM’s ability to analyze and automate where needed, and based on our experiences in working in a multi-vendor environment. We plan to work in collaboration to find areas where we plan to utilize the following toolkits.</w:t>
      </w:r>
    </w:p>
    <w:p w14:paraId="7749A809" w14:textId="77777777" w:rsidR="00511DCC" w:rsidRPr="00B554AF" w:rsidRDefault="00511DCC" w:rsidP="003972FC">
      <w:pPr>
        <w:pStyle w:val="CS-IBMBullet1"/>
      </w:pPr>
      <w:r w:rsidRPr="003972FC">
        <w:rPr>
          <w:b/>
          <w:bCs/>
        </w:rPr>
        <w:t>Combinatorial Test Design (CTD):</w:t>
      </w:r>
      <w:r w:rsidRPr="00B554AF">
        <w:t xml:space="preserve"> Identifies and removes redundant tests (40–70% reduction).</w:t>
      </w:r>
    </w:p>
    <w:p w14:paraId="5FC04B97" w14:textId="77777777" w:rsidR="00511DCC" w:rsidRPr="00B554AF" w:rsidRDefault="00511DCC" w:rsidP="003972FC">
      <w:pPr>
        <w:pStyle w:val="CS-IBMBullet1"/>
      </w:pPr>
      <w:r w:rsidRPr="003972FC">
        <w:rPr>
          <w:b/>
          <w:bCs/>
        </w:rPr>
        <w:t>OneTest Functional Automation (OTFA):</w:t>
      </w:r>
      <w:r w:rsidRPr="00B554AF">
        <w:t xml:space="preserve"> Enables scriptless test creation by QA and business users.</w:t>
      </w:r>
    </w:p>
    <w:p w14:paraId="6F20D677" w14:textId="77777777" w:rsidR="00511DCC" w:rsidRPr="00B554AF" w:rsidRDefault="00511DCC" w:rsidP="003972FC">
      <w:pPr>
        <w:pStyle w:val="CS-IBMBullet1"/>
      </w:pPr>
      <w:r w:rsidRPr="003972FC">
        <w:rPr>
          <w:b/>
          <w:bCs/>
        </w:rPr>
        <w:t>Intelligent Quality Platform (IQP+):</w:t>
      </w:r>
      <w:r w:rsidRPr="00B554AF">
        <w:t xml:space="preserve"> AI-enabled automation and prioritization engine with self-healing capabilities.</w:t>
      </w:r>
    </w:p>
    <w:p w14:paraId="59D081AC" w14:textId="77777777" w:rsidR="00511DCC" w:rsidRPr="00B554AF" w:rsidRDefault="00511DCC" w:rsidP="003972FC">
      <w:pPr>
        <w:pStyle w:val="CS-IBMBullet1"/>
      </w:pPr>
      <w:r w:rsidRPr="003972FC">
        <w:rPr>
          <w:b/>
          <w:bCs/>
        </w:rPr>
        <w:t xml:space="preserve">GitHub Copilot Integration: </w:t>
      </w:r>
      <w:r w:rsidRPr="00B554AF">
        <w:t>Supports AI-assisted unit and regression test generation.</w:t>
      </w:r>
    </w:p>
    <w:p w14:paraId="2F0B99CC" w14:textId="77777777" w:rsidR="00511DCC" w:rsidRPr="00B554AF" w:rsidRDefault="00511DCC" w:rsidP="003972FC">
      <w:pPr>
        <w:pStyle w:val="CS-IBMBullet1"/>
      </w:pPr>
      <w:r w:rsidRPr="003972FC">
        <w:rPr>
          <w:b/>
          <w:bCs/>
        </w:rPr>
        <w:t>RPA Bots for Test Data:</w:t>
      </w:r>
      <w:r w:rsidRPr="00B554AF">
        <w:t xml:space="preserve"> Automate creation of consistent, privacy-safe test data.</w:t>
      </w:r>
    </w:p>
    <w:p w14:paraId="494D82A2" w14:textId="7B12BFB1" w:rsidR="002458C9" w:rsidRPr="00A23270" w:rsidRDefault="00511DCC" w:rsidP="00A23270">
      <w:pPr>
        <w:pStyle w:val="CS-IBMBullet1"/>
      </w:pPr>
      <w:r w:rsidRPr="003972FC">
        <w:rPr>
          <w:b/>
          <w:bCs/>
        </w:rPr>
        <w:t>Chaos Testing Tools:</w:t>
      </w:r>
      <w:r w:rsidRPr="00B554AF">
        <w:t xml:space="preserve"> Simulate failures to validate resilience under real-world stress conditions.</w:t>
      </w:r>
    </w:p>
    <w:p w14:paraId="4F35DA66" w14:textId="77777777" w:rsidR="00A82685" w:rsidRPr="00A23270" w:rsidRDefault="00A82685" w:rsidP="00A82685">
      <w:pPr>
        <w:pStyle w:val="CS-IBMBullet1"/>
        <w:numPr>
          <w:ilvl w:val="0"/>
          <w:numId w:val="0"/>
        </w:numPr>
        <w:ind w:left="360" w:hanging="360"/>
      </w:pPr>
    </w:p>
    <w:p w14:paraId="11D2687F" w14:textId="286E7092" w:rsidR="00511DCC" w:rsidRPr="00ED0898" w:rsidRDefault="00511DCC" w:rsidP="009664A5">
      <w:pPr>
        <w:pStyle w:val="CS-IBMResponseText"/>
        <w:spacing w:before="240"/>
        <w:rPr>
          <w:color w:val="0070C0"/>
          <w:sz w:val="28"/>
          <w:szCs w:val="28"/>
        </w:rPr>
      </w:pPr>
      <w:r w:rsidRPr="00ED0898">
        <w:rPr>
          <w:color w:val="0070C0"/>
          <w:sz w:val="28"/>
          <w:szCs w:val="28"/>
        </w:rPr>
        <w:t>Proven Successes</w:t>
      </w:r>
    </w:p>
    <w:p w14:paraId="4FFF9359" w14:textId="77777777" w:rsidR="00511DCC" w:rsidRPr="00BF0861" w:rsidRDefault="00511DCC" w:rsidP="00637660">
      <w:pPr>
        <w:pStyle w:val="CS-IBMResponseText"/>
      </w:pPr>
      <w:r w:rsidRPr="00BF0861">
        <w:t>Our QA success has been demonstrated in the following organizations where we have led significant workload related to QA.</w:t>
      </w:r>
    </w:p>
    <w:p w14:paraId="1AC4948D" w14:textId="43EA1EA9" w:rsidR="00511DCC" w:rsidRPr="000E313E" w:rsidRDefault="00511DCC" w:rsidP="000577FD">
      <w:pPr>
        <w:pStyle w:val="CS-IBMBullet1"/>
      </w:pPr>
      <w:r w:rsidRPr="000577FD">
        <w:rPr>
          <w:b/>
          <w:bCs/>
        </w:rPr>
        <w:t>USA</w:t>
      </w:r>
      <w:r w:rsidR="00B73E6B">
        <w:rPr>
          <w:b/>
          <w:bCs/>
        </w:rPr>
        <w:t xml:space="preserve"> Retail Giant</w:t>
      </w:r>
      <w:r w:rsidRPr="000577FD">
        <w:rPr>
          <w:b/>
          <w:bCs/>
        </w:rPr>
        <w:t xml:space="preserve">: </w:t>
      </w:r>
      <w:r w:rsidRPr="000E313E">
        <w:t>Optimized 175 applications, reduced test cases by 70%, saving $400K annually.</w:t>
      </w:r>
    </w:p>
    <w:p w14:paraId="0283A930" w14:textId="77777777" w:rsidR="00511DCC" w:rsidRPr="000E313E" w:rsidRDefault="00511DCC" w:rsidP="000577FD">
      <w:pPr>
        <w:pStyle w:val="CS-IBMBullet1"/>
      </w:pPr>
      <w:r w:rsidRPr="000577FD">
        <w:rPr>
          <w:b/>
          <w:bCs/>
        </w:rPr>
        <w:lastRenderedPageBreak/>
        <w:t xml:space="preserve">Canadian Telecom Provider: </w:t>
      </w:r>
      <w:r w:rsidRPr="000E313E">
        <w:t>Achieved 90% regression automation across 60+ applications with nightly execution.</w:t>
      </w:r>
    </w:p>
    <w:p w14:paraId="0FFE4040" w14:textId="77777777" w:rsidR="00511DCC" w:rsidRPr="00B554AF" w:rsidRDefault="00511DCC" w:rsidP="000577FD">
      <w:pPr>
        <w:pStyle w:val="CS-IBMBullet1"/>
      </w:pPr>
      <w:r w:rsidRPr="000577FD">
        <w:rPr>
          <w:b/>
          <w:bCs/>
        </w:rPr>
        <w:t>UK Financial Institution:</w:t>
      </w:r>
      <w:r w:rsidRPr="00B554AF">
        <w:t xml:space="preserve"> Integrated performance regression into nightly runs, cutting cycle time by</w:t>
      </w:r>
      <w:r w:rsidRPr="000E313E">
        <w:t xml:space="preserve"> 30% and im</w:t>
      </w:r>
      <w:r w:rsidRPr="00B554AF">
        <w:t>proving stability.</w:t>
      </w:r>
    </w:p>
    <w:p w14:paraId="27F3985E" w14:textId="77777777" w:rsidR="00511DCC" w:rsidRPr="00B554AF" w:rsidRDefault="00511DCC" w:rsidP="000577FD">
      <w:pPr>
        <w:pStyle w:val="CS-IBMBullet1"/>
      </w:pPr>
      <w:r w:rsidRPr="000577FD">
        <w:rPr>
          <w:b/>
          <w:bCs/>
        </w:rPr>
        <w:t>State Medicaid Program:</w:t>
      </w:r>
      <w:r w:rsidRPr="00B554AF">
        <w:t xml:space="preserve"> Elastic CIC pods increased QA capa</w:t>
      </w:r>
      <w:r w:rsidRPr="000E313E">
        <w:t>city by 35% durin</w:t>
      </w:r>
      <w:r w:rsidRPr="00B554AF">
        <w:t>g ACA reforms, maintaining delivery schedules.</w:t>
      </w:r>
    </w:p>
    <w:p w14:paraId="38E1BB8E" w14:textId="77777777" w:rsidR="00A82685" w:rsidRPr="00B554AF" w:rsidRDefault="00A82685" w:rsidP="00A82685">
      <w:pPr>
        <w:pStyle w:val="CS-IBMBullet1"/>
        <w:numPr>
          <w:ilvl w:val="0"/>
          <w:numId w:val="0"/>
        </w:numPr>
        <w:ind w:left="360" w:hanging="360"/>
      </w:pPr>
    </w:p>
    <w:p w14:paraId="472912B5" w14:textId="2FE158F9" w:rsidR="00511DCC" w:rsidRPr="00ED0898" w:rsidRDefault="00511DCC" w:rsidP="009664A5">
      <w:pPr>
        <w:pStyle w:val="CS-IBMResponseText"/>
        <w:spacing w:before="240"/>
        <w:rPr>
          <w:color w:val="0070C0"/>
          <w:sz w:val="28"/>
          <w:szCs w:val="28"/>
        </w:rPr>
      </w:pPr>
      <w:r w:rsidRPr="00ED0898">
        <w:rPr>
          <w:color w:val="0070C0"/>
          <w:sz w:val="28"/>
          <w:szCs w:val="28"/>
        </w:rPr>
        <w:t>Measurable Outcomes</w:t>
      </w:r>
    </w:p>
    <w:p w14:paraId="0DBF8B50" w14:textId="77777777" w:rsidR="00511DCC" w:rsidRPr="006937BF" w:rsidRDefault="00511DCC" w:rsidP="00637660">
      <w:pPr>
        <w:pStyle w:val="CS-IBMResponseText"/>
      </w:pPr>
      <w:r w:rsidRPr="006937BF">
        <w:t>We have demonstrated the following outcomes in our QA work as follows:</w:t>
      </w:r>
    </w:p>
    <w:p w14:paraId="08504293" w14:textId="70FC3866" w:rsidR="00511DCC" w:rsidRPr="00B554AF" w:rsidRDefault="00511DCC" w:rsidP="00637660">
      <w:pPr>
        <w:pStyle w:val="CS-IBMBullet1"/>
      </w:pPr>
      <w:r w:rsidRPr="00637660">
        <w:rPr>
          <w:b/>
          <w:bCs/>
        </w:rPr>
        <w:t>Automation rate:</w:t>
      </w:r>
      <w:r w:rsidRPr="00B554AF">
        <w:t xml:space="preserve"> u</w:t>
      </w:r>
      <w:r w:rsidRPr="000E313E">
        <w:t>p to 90% of regression su</w:t>
      </w:r>
      <w:r w:rsidRPr="00B554AF">
        <w:t xml:space="preserve">ites </w:t>
      </w:r>
      <w:r w:rsidR="00190A64">
        <w:t>were</w:t>
      </w:r>
      <w:r w:rsidRPr="00B554AF">
        <w:t xml:space="preserve"> automated.</w:t>
      </w:r>
    </w:p>
    <w:p w14:paraId="0A16B1F6" w14:textId="77777777" w:rsidR="00511DCC" w:rsidRPr="00B554AF" w:rsidRDefault="00511DCC" w:rsidP="00637660">
      <w:pPr>
        <w:pStyle w:val="CS-IBMBullet1"/>
      </w:pPr>
      <w:r w:rsidRPr="00637660">
        <w:rPr>
          <w:b/>
          <w:bCs/>
        </w:rPr>
        <w:t>Cost savings:</w:t>
      </w:r>
      <w:r w:rsidRPr="00B554AF">
        <w:t xml:space="preserve"> estimated annual savings exceeding $1M through optimization and automation.</w:t>
      </w:r>
    </w:p>
    <w:p w14:paraId="23B5D275" w14:textId="77777777" w:rsidR="00511DCC" w:rsidRPr="00B554AF" w:rsidRDefault="00511DCC" w:rsidP="00637660">
      <w:pPr>
        <w:pStyle w:val="CS-IBMBullet1"/>
      </w:pPr>
      <w:r w:rsidRPr="00637660">
        <w:rPr>
          <w:b/>
          <w:bCs/>
        </w:rPr>
        <w:t>Cycle time reduction:</w:t>
      </w:r>
      <w:r w:rsidRPr="00B554AF">
        <w:t xml:space="preserve"> reduced from weeks to hours.</w:t>
      </w:r>
    </w:p>
    <w:p w14:paraId="11578CCD" w14:textId="77777777" w:rsidR="00511DCC" w:rsidRPr="00B554AF" w:rsidRDefault="00511DCC" w:rsidP="00637660">
      <w:pPr>
        <w:pStyle w:val="CS-IBMBullet1"/>
      </w:pPr>
      <w:r w:rsidRPr="00637660">
        <w:rPr>
          <w:b/>
          <w:bCs/>
        </w:rPr>
        <w:t>Defect leakage:</w:t>
      </w:r>
      <w:r w:rsidRPr="00B554AF">
        <w:t xml:space="preserve"> less tha</w:t>
      </w:r>
      <w:r w:rsidRPr="000E313E">
        <w:t>n 1% pos</w:t>
      </w:r>
      <w:r w:rsidRPr="00B554AF">
        <w:t>t-regression.</w:t>
      </w:r>
    </w:p>
    <w:p w14:paraId="404A1DB0" w14:textId="45067313" w:rsidR="002458C9" w:rsidRPr="00B73E6B" w:rsidRDefault="00511DCC" w:rsidP="00B73E6B">
      <w:pPr>
        <w:pStyle w:val="CS-IBMBullet1"/>
      </w:pPr>
      <w:r w:rsidRPr="00B554AF">
        <w:t>S</w:t>
      </w:r>
      <w:r w:rsidRPr="00637660">
        <w:rPr>
          <w:b/>
          <w:bCs/>
        </w:rPr>
        <w:t xml:space="preserve">calability: </w:t>
      </w:r>
      <w:r w:rsidRPr="000E313E">
        <w:t>30–40% c</w:t>
      </w:r>
      <w:r w:rsidRPr="00B554AF">
        <w:t>apacity growth within 4 weeks.</w:t>
      </w:r>
    </w:p>
    <w:p w14:paraId="5DB6ABA1" w14:textId="77777777" w:rsidR="00A82685" w:rsidRPr="00B73E6B" w:rsidRDefault="00A82685" w:rsidP="00A82685">
      <w:pPr>
        <w:pStyle w:val="CS-IBMBullet1"/>
        <w:numPr>
          <w:ilvl w:val="0"/>
          <w:numId w:val="0"/>
        </w:numPr>
        <w:ind w:left="360" w:hanging="360"/>
      </w:pPr>
    </w:p>
    <w:p w14:paraId="21C3B200" w14:textId="77777777" w:rsidR="00511DCC" w:rsidRPr="00ED0898" w:rsidRDefault="00511DCC" w:rsidP="001B72B8">
      <w:pPr>
        <w:pStyle w:val="CS-IBMResponseText"/>
        <w:keepNext/>
        <w:spacing w:before="240"/>
        <w:rPr>
          <w:color w:val="0070C0"/>
          <w:sz w:val="28"/>
          <w:szCs w:val="28"/>
        </w:rPr>
      </w:pPr>
      <w:r w:rsidRPr="00ED0898">
        <w:rPr>
          <w:color w:val="0070C0"/>
          <w:sz w:val="28"/>
          <w:szCs w:val="28"/>
        </w:rPr>
        <w:t>Delivering Sustainable Value to CalSAWS</w:t>
      </w:r>
    </w:p>
    <w:p w14:paraId="6B9073F4" w14:textId="77777777" w:rsidR="00511DCC" w:rsidRPr="000E313E" w:rsidRDefault="00511DCC" w:rsidP="008E23FC">
      <w:pPr>
        <w:pStyle w:val="CS-IBMResponseText"/>
      </w:pPr>
      <w:r w:rsidRPr="000E313E">
        <w:t>The Consortium’s request in UA8 is not for incremental improvement but for a transformation of regression testing into an intelligent, continuously optimized engineering practice. Our approach turns automation into a strategic asset—accelerating delivery, reducing cost, and reinforcing confidence in every CalSAWS release.</w:t>
      </w:r>
    </w:p>
    <w:p w14:paraId="1FBD3C32" w14:textId="65197940" w:rsidR="00ED0898" w:rsidRDefault="00511DCC" w:rsidP="008E23FC">
      <w:pPr>
        <w:pStyle w:val="CS-IBMResponseText"/>
      </w:pPr>
      <w:r w:rsidRPr="000E313E">
        <w:t>Through this partnership, regression becomes a driver of speed, consistency, and resident trust, supporting the Consortium’s long-term vision for a modern, resilient, and accessible eligibility system.</w:t>
      </w:r>
    </w:p>
    <w:p w14:paraId="78086AE8" w14:textId="77777777" w:rsidR="00ED0898" w:rsidRDefault="00ED0898">
      <w:pPr>
        <w:spacing w:before="0" w:after="0"/>
        <w:rPr>
          <w:rFonts w:cs="Arial"/>
          <w:color w:val="0D0D0D" w:themeColor="text1" w:themeTint="F2"/>
          <w:szCs w:val="21"/>
        </w:rPr>
      </w:pPr>
      <w:r>
        <w:br w:type="page"/>
      </w:r>
    </w:p>
    <w:p w14:paraId="0415EBC9" w14:textId="47F47CCB" w:rsidR="00511DCC" w:rsidRPr="00DD637A" w:rsidRDefault="00AF20BA">
      <w:pPr>
        <w:pStyle w:val="Heading3"/>
        <w:rPr>
          <w:color w:val="0070C0"/>
          <w:sz w:val="28"/>
          <w:szCs w:val="28"/>
        </w:rPr>
      </w:pPr>
      <w:r>
        <w:rPr>
          <w:rFonts w:eastAsia="Century Gothic"/>
        </w:rPr>
        <w:lastRenderedPageBreak/>
        <w:t xml:space="preserve"> </w:t>
      </w:r>
      <w:bookmarkStart w:id="71" w:name="_Toc213070154"/>
      <w:r w:rsidR="00511DCC" w:rsidRPr="00B554AF">
        <w:rPr>
          <w:rFonts w:eastAsia="Century Gothic"/>
        </w:rPr>
        <w:t>UA9</w:t>
      </w:r>
      <w:r w:rsidR="007D433E" w:rsidRPr="007D433E">
        <w:rPr>
          <w:rFonts w:eastAsia="Century Gothic"/>
        </w:rPr>
        <w:t xml:space="preserve"> – </w:t>
      </w:r>
      <w:r w:rsidR="00511DCC" w:rsidRPr="007D433E">
        <w:rPr>
          <w:color w:val="0070C0"/>
          <w:sz w:val="28"/>
          <w:szCs w:val="28"/>
        </w:rPr>
        <w:t>Understanding the Consortium’s Vision for DevSecOps</w:t>
      </w:r>
      <w:bookmarkEnd w:id="71"/>
    </w:p>
    <w:p w14:paraId="172AA8C5" w14:textId="5A994E87" w:rsidR="00275335" w:rsidRPr="00275335" w:rsidRDefault="00275335" w:rsidP="00CF7600">
      <w:pPr>
        <w:pStyle w:val="CS-RFPBodyText"/>
        <w:numPr>
          <w:ilvl w:val="0"/>
          <w:numId w:val="39"/>
        </w:numPr>
        <w:spacing w:before="0" w:after="0"/>
        <w:rPr>
          <w:i/>
          <w:iCs/>
          <w:szCs w:val="22"/>
        </w:rPr>
      </w:pPr>
      <w:r w:rsidRPr="00275335">
        <w:rPr>
          <w:i/>
          <w:iCs/>
        </w:rPr>
        <w:t>The Consortium has identified a number of key vision elements within its recent procurement documents</w:t>
      </w:r>
    </w:p>
    <w:p w14:paraId="22497DEC" w14:textId="6BCF9F99" w:rsidR="00CD29D5" w:rsidRPr="00CD29D5" w:rsidRDefault="00CD29D5" w:rsidP="00CF7600">
      <w:pPr>
        <w:pStyle w:val="CS-RFPBodyText"/>
        <w:numPr>
          <w:ilvl w:val="0"/>
          <w:numId w:val="39"/>
        </w:numPr>
        <w:spacing w:before="0" w:after="0"/>
        <w:rPr>
          <w:i/>
          <w:szCs w:val="22"/>
        </w:rPr>
      </w:pPr>
      <w:r w:rsidRPr="00CD29D5">
        <w:rPr>
          <w:i/>
          <w:szCs w:val="22"/>
        </w:rPr>
        <w:t>Describe the key factors within your QA approach that will support the evolution and advancement of DevSecOps within CalSAWS.</w:t>
      </w:r>
    </w:p>
    <w:p w14:paraId="7A389CB4" w14:textId="78709BB3" w:rsidR="00B513E9" w:rsidRDefault="00CD29D5" w:rsidP="00CF7600">
      <w:pPr>
        <w:pStyle w:val="CS-RFPBodyText"/>
        <w:numPr>
          <w:ilvl w:val="0"/>
          <w:numId w:val="39"/>
        </w:numPr>
        <w:spacing w:before="0" w:after="0"/>
        <w:rPr>
          <w:i/>
          <w:szCs w:val="22"/>
        </w:rPr>
      </w:pPr>
      <w:r w:rsidRPr="00CD29D5">
        <w:rPr>
          <w:i/>
          <w:szCs w:val="22"/>
        </w:rPr>
        <w:t>Provide demonstrated examples from previous QA projects as applicable.</w:t>
      </w:r>
    </w:p>
    <w:p w14:paraId="386B17E3" w14:textId="77777777" w:rsidR="00CD29D5" w:rsidRPr="00CD29D5" w:rsidRDefault="00CD29D5" w:rsidP="00CD29D5">
      <w:pPr>
        <w:pStyle w:val="CS-RFPBodyText"/>
        <w:spacing w:before="0" w:after="0"/>
        <w:ind w:left="360"/>
        <w:rPr>
          <w:i/>
          <w:szCs w:val="22"/>
        </w:rPr>
      </w:pPr>
    </w:p>
    <w:p w14:paraId="267F88D2" w14:textId="77777777" w:rsidR="0073445D" w:rsidRPr="0073445D" w:rsidRDefault="0073445D" w:rsidP="0073445D">
      <w:pPr>
        <w:pStyle w:val="CS-IBMResponseText"/>
        <w:rPr>
          <w:color w:val="0070C0"/>
          <w:sz w:val="28"/>
          <w:szCs w:val="28"/>
        </w:rPr>
      </w:pPr>
      <w:r w:rsidRPr="00CA2B9A">
        <w:rPr>
          <w:color w:val="0070C0"/>
          <w:sz w:val="28"/>
          <w:szCs w:val="28"/>
        </w:rPr>
        <w:t>Introduction</w:t>
      </w:r>
      <w:r w:rsidRPr="0073445D">
        <w:rPr>
          <w:color w:val="0070C0"/>
          <w:sz w:val="28"/>
          <w:szCs w:val="28"/>
        </w:rPr>
        <w:t xml:space="preserve"> </w:t>
      </w:r>
    </w:p>
    <w:p w14:paraId="58031F49" w14:textId="30B71C00" w:rsidR="00511DCC" w:rsidRPr="000E313E" w:rsidRDefault="00511DCC" w:rsidP="008E23FC">
      <w:pPr>
        <w:pStyle w:val="CS-IBMResponseText"/>
      </w:pPr>
      <w:r w:rsidRPr="000E313E">
        <w:t>The CalSAWS Consortium has set a clear expectation: quality and security must be engineered into every phase of the system’s lifecycle—not added as final checkpoints. For a program that spans 58 counties, supports millions of residents, and manages confidential data subject to Medi-Cal Privacy and Security and HIPAA requirements across multiple vendors and environments, DevSecOps is not a concept; it is a necessity.</w:t>
      </w:r>
    </w:p>
    <w:p w14:paraId="0AD4263D" w14:textId="77777777" w:rsidR="00511DCC" w:rsidRPr="000E313E" w:rsidRDefault="00511DCC" w:rsidP="008E23FC">
      <w:pPr>
        <w:pStyle w:val="CS-IBMResponseText"/>
      </w:pPr>
      <w:r w:rsidRPr="000E313E">
        <w:t>CalSAWS operates under constant legislative, operational, and security pressures. New mandates must be implemented quickly. Counties must maintain uninterrupted service to families and individuals. The system must remain stable, secure, and performant—no matter how frequently it evolves. To achieve this, quality, security, and delivery pipelines must operate as one integrated ecosystem, supported by shared automation, governance, and continuous feedback.</w:t>
      </w:r>
    </w:p>
    <w:p w14:paraId="07CBA929" w14:textId="77777777" w:rsidR="00511DCC" w:rsidRPr="00B554AF" w:rsidRDefault="00511DCC" w:rsidP="008E23FC">
      <w:pPr>
        <w:pStyle w:val="CS-IBMResponseText"/>
      </w:pPr>
      <w:r w:rsidRPr="00B554AF">
        <w:t>The Consortium’s vision for DevSecOps is rooted in four values that align directly with our approach:</w:t>
      </w:r>
    </w:p>
    <w:p w14:paraId="2B2549CF" w14:textId="77777777" w:rsidR="00511DCC" w:rsidRPr="00B554AF" w:rsidRDefault="00511DCC" w:rsidP="00B4388B">
      <w:pPr>
        <w:pStyle w:val="CS-IBMBullet1"/>
      </w:pPr>
      <w:r w:rsidRPr="00B4388B">
        <w:rPr>
          <w:b/>
          <w:bCs/>
        </w:rPr>
        <w:t>Innovation</w:t>
      </w:r>
      <w:r w:rsidRPr="00B554AF">
        <w:t xml:space="preserve"> </w:t>
      </w:r>
      <w:r w:rsidRPr="006E1CBD">
        <w:rPr>
          <w:b/>
          <w:bCs/>
        </w:rPr>
        <w:t>that serves efficiency</w:t>
      </w:r>
      <w:r w:rsidRPr="00B554AF">
        <w:t>, not complexity.</w:t>
      </w:r>
    </w:p>
    <w:p w14:paraId="508D61B7" w14:textId="77777777" w:rsidR="00511DCC" w:rsidRPr="00B554AF" w:rsidRDefault="00511DCC" w:rsidP="00B4388B">
      <w:pPr>
        <w:pStyle w:val="CS-IBMBullet1"/>
      </w:pPr>
      <w:r w:rsidRPr="00B4388B">
        <w:rPr>
          <w:b/>
          <w:bCs/>
        </w:rPr>
        <w:t>Automation</w:t>
      </w:r>
      <w:r w:rsidRPr="00B554AF">
        <w:t xml:space="preserve"> </w:t>
      </w:r>
      <w:r w:rsidRPr="006E1CBD">
        <w:rPr>
          <w:b/>
          <w:bCs/>
        </w:rPr>
        <w:t xml:space="preserve">that accelerates releases </w:t>
      </w:r>
      <w:r w:rsidRPr="00B554AF">
        <w:t>while maintaining trust and compliance.</w:t>
      </w:r>
    </w:p>
    <w:p w14:paraId="5AEA8950" w14:textId="77777777" w:rsidR="00511DCC" w:rsidRPr="00B554AF" w:rsidRDefault="00511DCC" w:rsidP="00B4388B">
      <w:pPr>
        <w:pStyle w:val="CS-IBMBullet1"/>
      </w:pPr>
      <w:r w:rsidRPr="00B4388B">
        <w:rPr>
          <w:b/>
          <w:bCs/>
        </w:rPr>
        <w:t>Continuous</w:t>
      </w:r>
      <w:r w:rsidRPr="00B554AF">
        <w:t xml:space="preserve"> </w:t>
      </w:r>
      <w:r w:rsidRPr="00B4388B">
        <w:rPr>
          <w:b/>
          <w:bCs/>
        </w:rPr>
        <w:t>improvement</w:t>
      </w:r>
      <w:r w:rsidRPr="00B554AF">
        <w:t xml:space="preserve"> </w:t>
      </w:r>
      <w:r w:rsidRPr="00851733">
        <w:t>driven by metrics and collaboration ac</w:t>
      </w:r>
      <w:r w:rsidRPr="00B554AF">
        <w:t>ross vendors.</w:t>
      </w:r>
    </w:p>
    <w:p w14:paraId="72A2A81D" w14:textId="77777777" w:rsidR="00511DCC" w:rsidRPr="00B554AF" w:rsidRDefault="00511DCC" w:rsidP="00B4388B">
      <w:pPr>
        <w:pStyle w:val="CS-IBMBullet1"/>
      </w:pPr>
      <w:r w:rsidRPr="00B4388B">
        <w:rPr>
          <w:b/>
          <w:bCs/>
        </w:rPr>
        <w:t>Security</w:t>
      </w:r>
      <w:r w:rsidRPr="006E1CBD">
        <w:rPr>
          <w:b/>
          <w:bCs/>
        </w:rPr>
        <w:t xml:space="preserve"> as a built-in capability</w:t>
      </w:r>
      <w:r w:rsidRPr="00B554AF">
        <w:t>, not a separate activity.</w:t>
      </w:r>
    </w:p>
    <w:p w14:paraId="65184982" w14:textId="77777777" w:rsidR="00511DCC" w:rsidRPr="00B554AF" w:rsidRDefault="00511DCC" w:rsidP="008E23FC">
      <w:pPr>
        <w:pStyle w:val="CS-IBMResponseText"/>
      </w:pPr>
      <w:r w:rsidRPr="00B554AF">
        <w:t>Our experience implementing DevSecOps-enabled QA for large public-sector systems confirms that this integrated model is essential for CalSAWS. Quality and security “shift left” into planning and development, are continuously validated during integration and deployment, and remain monitored in production.</w:t>
      </w:r>
    </w:p>
    <w:p w14:paraId="6FC8EC7F" w14:textId="1D4D8017" w:rsidR="00511DCC" w:rsidRPr="000E313E" w:rsidRDefault="00511DCC" w:rsidP="008E23FC">
      <w:pPr>
        <w:pStyle w:val="CS-IBMResponseText"/>
      </w:pPr>
      <w:r w:rsidRPr="000E313E">
        <w:t>This approach ensures that every CalSAWS release—whether driven by policy, modernization, or user enhancement—is automatically tested for functionality, performance, accessibility, and security before it reaches counties or the Residents of California.</w:t>
      </w:r>
    </w:p>
    <w:p w14:paraId="7C26E7FA" w14:textId="1BF9456F" w:rsidR="00A82685" w:rsidRPr="00F1036F" w:rsidRDefault="00511DCC" w:rsidP="00F1036F">
      <w:pPr>
        <w:pStyle w:val="CS-IBMResponseText"/>
      </w:pPr>
      <w:r w:rsidRPr="000E313E">
        <w:t>By embedding QA within the DevSecOps pipeline, we help transform CalSAWS’ delivery cycle into a secure, automated, and continuously improving environment that meets the Consortium’s expectations for speed, stability, and public trust.</w:t>
      </w:r>
    </w:p>
    <w:p w14:paraId="22CED7D1" w14:textId="77777777" w:rsidR="00511DCC" w:rsidRPr="00DD637A" w:rsidRDefault="00511DCC" w:rsidP="001B72B8">
      <w:pPr>
        <w:pStyle w:val="CS-IBMResponseText"/>
        <w:keepNext/>
        <w:rPr>
          <w:color w:val="0070C0"/>
          <w:sz w:val="28"/>
          <w:szCs w:val="28"/>
        </w:rPr>
      </w:pPr>
      <w:r w:rsidRPr="00DD637A">
        <w:rPr>
          <w:color w:val="0070C0"/>
          <w:sz w:val="28"/>
          <w:szCs w:val="28"/>
        </w:rPr>
        <w:t>Integrating QA into the CalSAWS DevSecOps Environment</w:t>
      </w:r>
    </w:p>
    <w:p w14:paraId="743A2259" w14:textId="77777777" w:rsidR="00511DCC" w:rsidRPr="00A47B47" w:rsidRDefault="00511DCC" w:rsidP="008E23FC">
      <w:pPr>
        <w:pStyle w:val="CS-IBMResponseText"/>
      </w:pPr>
      <w:r w:rsidRPr="00B554AF">
        <w:t>DevSecOps is more than a toolchain—it is a shared culture of collaboration and a</w:t>
      </w:r>
      <w:r w:rsidRPr="00A47B47">
        <w:t xml:space="preserve">ccountability across development, security, operations, and quality teams. Within CalSAWS, this approach is essential to ensuring that every change—whether a minor </w:t>
      </w:r>
      <w:r w:rsidRPr="00A47B47">
        <w:lastRenderedPageBreak/>
        <w:t>enhancement or a statewide policy update—moves safely, efficiently, and transparently through the delivery pipeline.</w:t>
      </w:r>
    </w:p>
    <w:p w14:paraId="75449DB9" w14:textId="18413E02" w:rsidR="00511DCC" w:rsidRPr="00B554AF" w:rsidRDefault="00511DCC" w:rsidP="008E23FC">
      <w:pPr>
        <w:pStyle w:val="CS-IBMResponseText"/>
      </w:pPr>
      <w:r w:rsidRPr="00A47B47">
        <w:t>CalSAWS’ success depends on effective coordination across a multi-contractor ecosystem that includes development vendors, system integrators, operations providers, and the Consortium’s governance bodies</w:t>
      </w:r>
      <w:r w:rsidR="007A1A01">
        <w:t xml:space="preserve"> (e.g., JPA, PSC)</w:t>
      </w:r>
      <w:r w:rsidRPr="00A47B47">
        <w:t>. Our Quality Engineering (QE) approach is designed to fit within this environment, not replace it. We focus on integration, alignment, and shared visibility—ensuring that quality and security are strengthened at every stage without disrupting the work of par</w:t>
      </w:r>
      <w:r w:rsidRPr="00B554AF">
        <w:t>tner vendors.</w:t>
      </w:r>
    </w:p>
    <w:p w14:paraId="6463C9E6" w14:textId="77777777" w:rsidR="00511DCC" w:rsidRPr="00B554AF" w:rsidRDefault="00511DCC" w:rsidP="008E23FC">
      <w:pPr>
        <w:pStyle w:val="CS-IBMResponseText"/>
      </w:pPr>
      <w:r w:rsidRPr="00B554AF">
        <w:t>DevSecOps can only succeed when QA is embedded from the start. Traditional QA models that validate after development introduce delays and risks that a system of CalSAWS’ scale cannot afford. Instead, QE is woven into the pipeline itself, transforming QA into an active participant in every stage of delivery.</w:t>
      </w:r>
    </w:p>
    <w:p w14:paraId="63457AF5" w14:textId="77777777" w:rsidR="00511DCC" w:rsidRPr="00B554AF" w:rsidRDefault="00511DCC" w:rsidP="008E23FC">
      <w:pPr>
        <w:pStyle w:val="CS-IBMResponseText"/>
      </w:pPr>
      <w:r w:rsidRPr="00B554AF">
        <w:t>In this integrated model:</w:t>
      </w:r>
    </w:p>
    <w:p w14:paraId="7B8AF340" w14:textId="77777777" w:rsidR="00511DCC" w:rsidRPr="00B554AF" w:rsidRDefault="00511DCC" w:rsidP="00DA5842">
      <w:pPr>
        <w:pStyle w:val="CS-IBMBullet1"/>
      </w:pPr>
      <w:r w:rsidRPr="00DA5842">
        <w:rPr>
          <w:b/>
          <w:bCs/>
        </w:rPr>
        <w:t xml:space="preserve">Quality is defined early. </w:t>
      </w:r>
      <w:r w:rsidRPr="00B554AF">
        <w:t>During backlog refinement and PI planning, QA engineers collaborate with vendor teams and county SMEs to ensure acceptance criteria are testable, measurable, and risk-aware.</w:t>
      </w:r>
    </w:p>
    <w:p w14:paraId="1CA2CDD2" w14:textId="77777777" w:rsidR="00511DCC" w:rsidRPr="00B554AF" w:rsidRDefault="00511DCC" w:rsidP="00DA5842">
      <w:pPr>
        <w:pStyle w:val="CS-IBMBullet1"/>
      </w:pPr>
      <w:r w:rsidRPr="00DA5842">
        <w:rPr>
          <w:b/>
          <w:bCs/>
        </w:rPr>
        <w:t xml:space="preserve">Security shifts left. </w:t>
      </w:r>
      <w:r w:rsidRPr="00B554AF">
        <w:t>Static (SAST), dynamic (DAST), and dependency (SCA) scans run alongside builds, coordinated across all development streams.</w:t>
      </w:r>
    </w:p>
    <w:p w14:paraId="2CBEB699" w14:textId="77777777" w:rsidR="00511DCC" w:rsidRPr="00B554AF" w:rsidRDefault="00511DCC" w:rsidP="00DA5842">
      <w:pPr>
        <w:pStyle w:val="CS-IBMBullet1"/>
      </w:pPr>
      <w:r w:rsidRPr="00DA5842">
        <w:rPr>
          <w:b/>
          <w:bCs/>
        </w:rPr>
        <w:t xml:space="preserve">Testing is continuous. </w:t>
      </w:r>
      <w:r w:rsidRPr="00B554AF">
        <w:t>Automated unit, integration, regression, performance, and penetration tests run within CI/CD pipelines managed jointly with vendor partners.</w:t>
      </w:r>
    </w:p>
    <w:p w14:paraId="2B6FE619" w14:textId="77777777" w:rsidR="00511DCC" w:rsidRPr="00B554AF" w:rsidRDefault="00511DCC" w:rsidP="00DA5842">
      <w:pPr>
        <w:pStyle w:val="CS-IBMBullet1"/>
      </w:pPr>
      <w:r w:rsidRPr="00DA5842">
        <w:rPr>
          <w:b/>
          <w:bCs/>
        </w:rPr>
        <w:t xml:space="preserve">Feedback is real-time. </w:t>
      </w:r>
      <w:r w:rsidRPr="00B554AF">
        <w:t>Centralized dashboards provide a single view of quality, risk, and compliance for the Consortium and all contractors.</w:t>
      </w:r>
    </w:p>
    <w:p w14:paraId="7EDB10BD" w14:textId="77777777" w:rsidR="00511DCC" w:rsidRPr="00B554AF" w:rsidRDefault="00511DCC" w:rsidP="00DA5842">
      <w:pPr>
        <w:pStyle w:val="CS-IBMBullet1"/>
      </w:pPr>
      <w:r w:rsidRPr="00DA5842">
        <w:rPr>
          <w:b/>
          <w:bCs/>
        </w:rPr>
        <w:t>Resilience is validated.</w:t>
      </w:r>
      <w:r w:rsidRPr="00B554AF">
        <w:t xml:space="preserve"> Site Reliability Engineering (SRE) and chaos engineering practices ensure the system remains stable under stress and failure scenarios.</w:t>
      </w:r>
    </w:p>
    <w:p w14:paraId="0285BB93" w14:textId="2E4D95C1" w:rsidR="00A82685" w:rsidRPr="00F1036F" w:rsidRDefault="00511DCC" w:rsidP="008E23FC">
      <w:pPr>
        <w:pStyle w:val="CS-IBMResponseText"/>
      </w:pPr>
      <w:r w:rsidRPr="00A47B47">
        <w:t>By embedding QA within this multi-vendor DevSecOps framework, we help unify disparate teams under one shared definition of quality. QA becomes the connective tissue between development, security, and operations—driving predictability, lowering the cost of quality, and ensuring that every release meets the Consortium’s high standards for performance, security, and resident trust.</w:t>
      </w:r>
    </w:p>
    <w:p w14:paraId="604BE8AF" w14:textId="77777777" w:rsidR="00511DCC" w:rsidRPr="00DD637A" w:rsidRDefault="00511DCC" w:rsidP="008E23FC">
      <w:pPr>
        <w:pStyle w:val="CS-IBMResponseText"/>
        <w:rPr>
          <w:color w:val="0070C0"/>
          <w:sz w:val="28"/>
          <w:szCs w:val="28"/>
        </w:rPr>
      </w:pPr>
      <w:r w:rsidRPr="00DD637A">
        <w:rPr>
          <w:color w:val="0070C0"/>
          <w:sz w:val="28"/>
          <w:szCs w:val="28"/>
        </w:rPr>
        <w:t>Approach to Embedding QA into CalSAWS DevSecOps Pipelines</w:t>
      </w:r>
    </w:p>
    <w:p w14:paraId="53CB0931" w14:textId="77777777" w:rsidR="00EC0FBA" w:rsidRPr="00A47B47" w:rsidRDefault="00511DCC" w:rsidP="008E23FC">
      <w:pPr>
        <w:pStyle w:val="CS-IBMResponseText"/>
      </w:pPr>
      <w:r w:rsidRPr="00A47B47">
        <w:t>Our approach to DevSecOps in CalSAWS is structured around six key practices, each supporting the Consortium’s goals of speed, stability, and collaboration across its multi-vendor ecosystem.</w:t>
      </w:r>
    </w:p>
    <w:p w14:paraId="5B2A61EE" w14:textId="2F2C8614" w:rsidR="00511DCC" w:rsidRPr="00A47B47" w:rsidRDefault="00511DCC" w:rsidP="008E23FC">
      <w:pPr>
        <w:pStyle w:val="CS-IBMResponseText"/>
      </w:pPr>
      <w:r w:rsidRPr="00A47B47">
        <w:t>We recognize that CalSAWS operates within a diverse delivery environment with system integrators, infrastructure providers, and operations vendors all contributing to the system’s success. Our role is to unify quality and security practices across that ecosystem, ensuring shared standards, consistent reporting, and transparent communication at every step.</w:t>
      </w:r>
    </w:p>
    <w:p w14:paraId="03FBD7EF" w14:textId="77777777" w:rsidR="00511DCC" w:rsidRPr="0090000D" w:rsidRDefault="00511DCC" w:rsidP="00A47B47">
      <w:pPr>
        <w:pStyle w:val="CS-IBMResponseText"/>
        <w:keepNext/>
        <w:rPr>
          <w:b/>
          <w:bCs/>
        </w:rPr>
      </w:pPr>
      <w:r w:rsidRPr="0090000D">
        <w:rPr>
          <w:b/>
          <w:bCs/>
        </w:rPr>
        <w:t>1. QA-Driven PI Planning and Backlog Refinement</w:t>
      </w:r>
    </w:p>
    <w:p w14:paraId="6F979196" w14:textId="77777777" w:rsidR="00511DCC" w:rsidRPr="00B554AF" w:rsidRDefault="00511DCC" w:rsidP="008E23FC">
      <w:pPr>
        <w:pStyle w:val="CS-IBMResponseText"/>
      </w:pPr>
      <w:r w:rsidRPr="00B554AF">
        <w:t>Effective DevSecOps begins with inclusive planning. We ensure QA is a full participant in Program Increment (PI) planning and backlog refinement alongside Consortium leaders and vendor teams.</w:t>
      </w:r>
    </w:p>
    <w:p w14:paraId="24B91650" w14:textId="77777777" w:rsidR="00511DCC" w:rsidRPr="00B554AF" w:rsidRDefault="00511DCC" w:rsidP="00BF6BB8">
      <w:pPr>
        <w:pStyle w:val="CS-IBMBullet1"/>
      </w:pPr>
      <w:r w:rsidRPr="00BF6BB8">
        <w:rPr>
          <w:b/>
          <w:bCs/>
        </w:rPr>
        <w:lastRenderedPageBreak/>
        <w:t xml:space="preserve">Testable acceptance criteria: </w:t>
      </w:r>
      <w:r w:rsidRPr="00B554AF">
        <w:t>QA engineers collaborate with product owners, developers, and county SMEs to ensure all user stories have measurable, risk-aware acceptance criteria linked to business outcomes.</w:t>
      </w:r>
    </w:p>
    <w:p w14:paraId="6B99C769" w14:textId="77777777" w:rsidR="00511DCC" w:rsidRPr="00B554AF" w:rsidRDefault="00511DCC" w:rsidP="00BF6BB8">
      <w:pPr>
        <w:pStyle w:val="CS-IBMBullet1"/>
      </w:pPr>
      <w:r w:rsidRPr="00BF6BB8">
        <w:rPr>
          <w:b/>
          <w:bCs/>
        </w:rPr>
        <w:t xml:space="preserve">Risk-based prioritization: </w:t>
      </w:r>
      <w:r w:rsidRPr="00B554AF">
        <w:t>Each story and epic is scored for complexity and dependencies, guiding where automation and regression coverage are most critical.</w:t>
      </w:r>
    </w:p>
    <w:p w14:paraId="05840ADF" w14:textId="11D7E86A" w:rsidR="00511DCC" w:rsidRPr="00B554AF" w:rsidRDefault="00511DCC" w:rsidP="00BF6BB8">
      <w:pPr>
        <w:pStyle w:val="CS-IBMBullet1"/>
      </w:pPr>
      <w:r w:rsidRPr="00BF6BB8">
        <w:rPr>
          <w:b/>
          <w:bCs/>
        </w:rPr>
        <w:t xml:space="preserve">User experience alignment: </w:t>
      </w:r>
      <w:r w:rsidRPr="00B554AF">
        <w:t>We validate that requirements adhere to User-Centered Design (UCD) principles—ensuring that the system remains intuitive, accessible, and efficient for both county workers and the Residents of California. (UCD focuses on usability and workflow design, complementing the UX testing approach described earlier.)</w:t>
      </w:r>
    </w:p>
    <w:p w14:paraId="35A1CD14" w14:textId="4DB5D808" w:rsidR="00511DCC" w:rsidRPr="00B554AF" w:rsidRDefault="00511DCC" w:rsidP="00BF6BB8">
      <w:pPr>
        <w:pStyle w:val="CS-IBMResponseText"/>
      </w:pPr>
      <w:r w:rsidRPr="00BF6BB8">
        <w:rPr>
          <w:u w:val="single"/>
        </w:rPr>
        <w:t>Impact</w:t>
      </w:r>
      <w:r w:rsidR="00A47B47">
        <w:t>:</w:t>
      </w:r>
      <w:r w:rsidR="00152171">
        <w:t xml:space="preserve"> </w:t>
      </w:r>
      <w:r w:rsidRPr="00B554AF">
        <w:t>Early QA engagement reduces rework, strengthens alignment across vendors, and ensures that quality and security objectives are built into every development cycle.</w:t>
      </w:r>
    </w:p>
    <w:p w14:paraId="1B45375C" w14:textId="77777777" w:rsidR="00511DCC" w:rsidRPr="00BF6BB8" w:rsidRDefault="00511DCC" w:rsidP="008E23FC">
      <w:pPr>
        <w:pStyle w:val="CS-IBMResponseText"/>
        <w:rPr>
          <w:b/>
          <w:bCs/>
        </w:rPr>
      </w:pPr>
      <w:r w:rsidRPr="00BF6BB8">
        <w:rPr>
          <w:b/>
          <w:bCs/>
        </w:rPr>
        <w:t>2. Pipeline Integration for Continuous Testing</w:t>
      </w:r>
    </w:p>
    <w:p w14:paraId="496975A6" w14:textId="5E0598FD" w:rsidR="00511DCC" w:rsidRPr="00B554AF" w:rsidRDefault="00511DCC" w:rsidP="008E23FC">
      <w:pPr>
        <w:pStyle w:val="CS-IBMResponseText"/>
      </w:pPr>
      <w:r w:rsidRPr="00B554AF">
        <w:t xml:space="preserve">Automation is most powerful when </w:t>
      </w:r>
      <w:r w:rsidR="00152171" w:rsidRPr="00B554AF">
        <w:t>it is</w:t>
      </w:r>
      <w:r w:rsidRPr="00B554AF">
        <w:t xml:space="preserve"> fully integrated into the delivery pipeline. Within CalSAWS, we will embed continuous testing across all vendors’ CI/CD environments.</w:t>
      </w:r>
    </w:p>
    <w:p w14:paraId="6DD3481B" w14:textId="77777777" w:rsidR="00511DCC" w:rsidRPr="00B554AF" w:rsidRDefault="00511DCC" w:rsidP="009A3DCF">
      <w:pPr>
        <w:pStyle w:val="CS-IBMBullet1"/>
      </w:pPr>
      <w:r w:rsidRPr="009A3DCF">
        <w:rPr>
          <w:b/>
          <w:bCs/>
        </w:rPr>
        <w:t xml:space="preserve">Automated unit testing: </w:t>
      </w:r>
      <w:r w:rsidRPr="00B554AF">
        <w:t>AI-assisted tools such as GitHub Copilot support developers in writing effective unit tests during build.</w:t>
      </w:r>
    </w:p>
    <w:p w14:paraId="5D8215BD" w14:textId="77777777" w:rsidR="00511DCC" w:rsidRPr="00B554AF" w:rsidRDefault="00511DCC" w:rsidP="009A3DCF">
      <w:pPr>
        <w:pStyle w:val="CS-IBMBullet1"/>
      </w:pPr>
      <w:r w:rsidRPr="009A3DCF">
        <w:rPr>
          <w:b/>
          <w:bCs/>
        </w:rPr>
        <w:t>Integration testing:</w:t>
      </w:r>
      <w:r w:rsidRPr="00B554AF">
        <w:t xml:space="preserve"> API and service-level tests run automatically at each build, validating interactions between vendor modules.</w:t>
      </w:r>
    </w:p>
    <w:p w14:paraId="6288DD15" w14:textId="77777777" w:rsidR="00511DCC" w:rsidRPr="00B554AF" w:rsidRDefault="00511DCC" w:rsidP="009A3DCF">
      <w:pPr>
        <w:pStyle w:val="CS-IBMBullet1"/>
      </w:pPr>
      <w:r w:rsidRPr="009A3DCF">
        <w:rPr>
          <w:b/>
          <w:bCs/>
        </w:rPr>
        <w:t xml:space="preserve">Regression testing: </w:t>
      </w:r>
      <w:r w:rsidRPr="00B554AF">
        <w:t>Optimized regression suites execute nightly or on demand, providing rapid feedback on cross-system changes.</w:t>
      </w:r>
    </w:p>
    <w:p w14:paraId="37965E46" w14:textId="77777777" w:rsidR="00511DCC" w:rsidRPr="00B554AF" w:rsidRDefault="00511DCC" w:rsidP="009A3DCF">
      <w:pPr>
        <w:pStyle w:val="CS-IBMBullet1"/>
      </w:pPr>
      <w:r w:rsidRPr="009A3DCF">
        <w:rPr>
          <w:b/>
          <w:bCs/>
        </w:rPr>
        <w:t>Performance testing:</w:t>
      </w:r>
      <w:r w:rsidRPr="00B554AF">
        <w:t xml:space="preserve"> Lightweight smoke tests run on every build, with full-scale performance testing scheduled for major releases.</w:t>
      </w:r>
    </w:p>
    <w:p w14:paraId="1EAB6FA2" w14:textId="77777777" w:rsidR="00511DCC" w:rsidRPr="00B554AF" w:rsidRDefault="00511DCC" w:rsidP="008E23FC">
      <w:pPr>
        <w:pStyle w:val="CS-IBMResponseText"/>
      </w:pPr>
      <w:r w:rsidRPr="009A3DCF">
        <w:rPr>
          <w:u w:val="single"/>
        </w:rPr>
        <w:t>Impact</w:t>
      </w:r>
      <w:r w:rsidRPr="00B554AF">
        <w:t>: Continuous testing ensures that every release is validated collaboratively, reducing late-stage defects and improving delivery predictability.</w:t>
      </w:r>
    </w:p>
    <w:p w14:paraId="31E66947" w14:textId="77777777" w:rsidR="00511DCC" w:rsidRPr="00457BE1" w:rsidRDefault="00511DCC" w:rsidP="008E23FC">
      <w:pPr>
        <w:pStyle w:val="CS-IBMResponseText"/>
        <w:rPr>
          <w:b/>
          <w:bCs/>
        </w:rPr>
      </w:pPr>
      <w:r w:rsidRPr="00457BE1">
        <w:rPr>
          <w:b/>
          <w:bCs/>
        </w:rPr>
        <w:t>3. Shift-Left Security Integration</w:t>
      </w:r>
    </w:p>
    <w:p w14:paraId="6F6190F2" w14:textId="77777777" w:rsidR="00511DCC" w:rsidRPr="00A47B47" w:rsidRDefault="00511DCC" w:rsidP="008E23FC">
      <w:pPr>
        <w:pStyle w:val="CS-IBMResponseText"/>
      </w:pPr>
      <w:r w:rsidRPr="00A47B47">
        <w:t>Security cannot be an afterthought in a system as large as CalSAWS. We integrate security validation into development and testing activities from the start—making it a shared responsibility across all vendors.</w:t>
      </w:r>
    </w:p>
    <w:p w14:paraId="0D02910C" w14:textId="77777777" w:rsidR="00511DCC" w:rsidRPr="00B554AF" w:rsidRDefault="00511DCC" w:rsidP="001B01C6">
      <w:pPr>
        <w:pStyle w:val="CS-IBMBullet1"/>
      </w:pPr>
      <w:r w:rsidRPr="001B01C6">
        <w:rPr>
          <w:b/>
          <w:bCs/>
        </w:rPr>
        <w:t>Static testing (SAST):</w:t>
      </w:r>
      <w:r w:rsidRPr="00B554AF">
        <w:t xml:space="preserve"> Scans the code itself for vulnerabilities before it runs.</w:t>
      </w:r>
    </w:p>
    <w:p w14:paraId="36833A06" w14:textId="77777777" w:rsidR="00511DCC" w:rsidRPr="00B554AF" w:rsidRDefault="00511DCC" w:rsidP="001B01C6">
      <w:pPr>
        <w:pStyle w:val="CS-IBMBullet1"/>
      </w:pPr>
      <w:r w:rsidRPr="001B01C6">
        <w:rPr>
          <w:b/>
          <w:bCs/>
        </w:rPr>
        <w:t xml:space="preserve">Dynamic testing (DAST): </w:t>
      </w:r>
      <w:r w:rsidRPr="00B554AF">
        <w:t>Tests the running system for security issues in real time.</w:t>
      </w:r>
    </w:p>
    <w:p w14:paraId="6355C8A7" w14:textId="77777777" w:rsidR="00511DCC" w:rsidRPr="00B554AF" w:rsidRDefault="00511DCC" w:rsidP="001B01C6">
      <w:pPr>
        <w:pStyle w:val="CS-IBMBullet1"/>
      </w:pPr>
      <w:r w:rsidRPr="001B01C6">
        <w:rPr>
          <w:b/>
          <w:bCs/>
        </w:rPr>
        <w:t>Dependency checks (SCA):</w:t>
      </w:r>
      <w:r w:rsidRPr="00B554AF">
        <w:t xml:space="preserve"> Scans third-party libraries for known vulnerabilities.</w:t>
      </w:r>
    </w:p>
    <w:p w14:paraId="6CFF8BA7" w14:textId="77777777" w:rsidR="00511DCC" w:rsidRPr="00B554AF" w:rsidRDefault="00511DCC" w:rsidP="001B01C6">
      <w:pPr>
        <w:pStyle w:val="CS-IBMBullet1"/>
      </w:pPr>
      <w:r w:rsidRPr="001B01C6">
        <w:rPr>
          <w:b/>
          <w:bCs/>
        </w:rPr>
        <w:t>Penetration testing:</w:t>
      </w:r>
      <w:r w:rsidRPr="00B554AF">
        <w:t xml:space="preserve"> Automated penetration scripts, supplemented with expert review, validate that fixes are effective and sustainable.</w:t>
      </w:r>
    </w:p>
    <w:p w14:paraId="229D6F78" w14:textId="3083F7C7" w:rsidR="00511DCC" w:rsidRPr="00B554AF" w:rsidRDefault="00511DCC" w:rsidP="008E23FC">
      <w:pPr>
        <w:pStyle w:val="CS-IBMResponseText"/>
      </w:pPr>
      <w:r w:rsidRPr="001B01C6">
        <w:rPr>
          <w:u w:val="single"/>
        </w:rPr>
        <w:t>Impact</w:t>
      </w:r>
      <w:r w:rsidRPr="00B554AF">
        <w:t>: By embedding these checks into shared pipelines, vulnerabilities are detected and resolved early</w:t>
      </w:r>
      <w:r w:rsidR="00ED57A5" w:rsidRPr="00B554AF">
        <w:t xml:space="preserve"> </w:t>
      </w:r>
      <w:r w:rsidRPr="00B554AF">
        <w:t>reducing risk, remediation cost, and downstream impact to counties or the Residents of California.</w:t>
      </w:r>
    </w:p>
    <w:p w14:paraId="3F7B9EA8" w14:textId="77777777" w:rsidR="00511DCC" w:rsidRPr="00442870" w:rsidRDefault="00511DCC" w:rsidP="003C6DE6">
      <w:pPr>
        <w:pStyle w:val="CS-IBMResponseText"/>
        <w:keepNext/>
        <w:rPr>
          <w:b/>
          <w:bCs/>
        </w:rPr>
      </w:pPr>
      <w:r w:rsidRPr="00442870">
        <w:rPr>
          <w:b/>
          <w:bCs/>
        </w:rPr>
        <w:lastRenderedPageBreak/>
        <w:t>4. Site Reliability Engineering (SRE) and Resilience Testing</w:t>
      </w:r>
    </w:p>
    <w:p w14:paraId="04826455" w14:textId="323B0CD5" w:rsidR="00511DCC" w:rsidRPr="00B554AF" w:rsidRDefault="00511DCC" w:rsidP="008E23FC">
      <w:pPr>
        <w:pStyle w:val="CS-IBMResponseText"/>
      </w:pPr>
      <w:r w:rsidRPr="00B554AF">
        <w:t xml:space="preserve">To maintain continuous access for all counties and the Residents of California, CalSAWS must be resilient to traffic surges and system disruptions. We apply SRE principles and </w:t>
      </w:r>
      <w:r w:rsidRPr="00F34FCA">
        <w:rPr>
          <w:b/>
          <w:bCs/>
        </w:rPr>
        <w:t>chaos engineering</w:t>
      </w:r>
      <w:r w:rsidRPr="00B554AF">
        <w:t xml:space="preserve"> in coordination with other vendors to validate real-world resilience.</w:t>
      </w:r>
    </w:p>
    <w:p w14:paraId="194FC76E" w14:textId="77777777" w:rsidR="00511DCC" w:rsidRPr="00B554AF" w:rsidRDefault="00511DCC" w:rsidP="00642651">
      <w:pPr>
        <w:pStyle w:val="CS-IBMBullet1"/>
      </w:pPr>
      <w:r w:rsidRPr="00642651">
        <w:rPr>
          <w:b/>
          <w:bCs/>
        </w:rPr>
        <w:t xml:space="preserve">Controlled fault testing: </w:t>
      </w:r>
      <w:r w:rsidRPr="00B554AF">
        <w:t>Tools such as Gremlin safely simulate outages and latency to confirm the system’s stability.</w:t>
      </w:r>
    </w:p>
    <w:p w14:paraId="24A2836E" w14:textId="77777777" w:rsidR="00511DCC" w:rsidRPr="00B554AF" w:rsidRDefault="00511DCC" w:rsidP="00642651">
      <w:pPr>
        <w:pStyle w:val="CS-IBMBullet1"/>
      </w:pPr>
      <w:r w:rsidRPr="00642651">
        <w:rPr>
          <w:b/>
          <w:bCs/>
        </w:rPr>
        <w:t xml:space="preserve">Error budgets: </w:t>
      </w:r>
      <w:r w:rsidRPr="00B554AF">
        <w:t>Defined limits for downtime inform release decisions and guide infrastructure planning.</w:t>
      </w:r>
    </w:p>
    <w:p w14:paraId="0998DCD8" w14:textId="1E682617" w:rsidR="00511DCC" w:rsidRPr="00B554AF" w:rsidRDefault="00511DCC" w:rsidP="00642651">
      <w:pPr>
        <w:pStyle w:val="CS-IBMBullet1"/>
      </w:pPr>
      <w:r w:rsidRPr="00642651">
        <w:rPr>
          <w:b/>
          <w:bCs/>
        </w:rPr>
        <w:t xml:space="preserve">Synthetic monitoring: </w:t>
      </w:r>
      <w:r w:rsidRPr="00B554AF">
        <w:t>Scripts emulate resident and county interactions to detect emerging issues before they affect users.</w:t>
      </w:r>
    </w:p>
    <w:p w14:paraId="485D01B1" w14:textId="77777777" w:rsidR="00511DCC" w:rsidRPr="00B554AF" w:rsidRDefault="00511DCC" w:rsidP="008E23FC">
      <w:pPr>
        <w:pStyle w:val="CS-IBMResponseText"/>
      </w:pPr>
      <w:r w:rsidRPr="00F34FCA">
        <w:rPr>
          <w:u w:val="single"/>
        </w:rPr>
        <w:t>Impact</w:t>
      </w:r>
      <w:r w:rsidRPr="00B554AF">
        <w:t>: SRE integration ensures CalSAWS is not only functional but highly resilient—protecting uptime and public confidence even under stress.</w:t>
      </w:r>
    </w:p>
    <w:p w14:paraId="3316B81F" w14:textId="77777777" w:rsidR="00511DCC" w:rsidRPr="00DF2201" w:rsidRDefault="00511DCC" w:rsidP="008E23FC">
      <w:pPr>
        <w:pStyle w:val="CS-IBMResponseText"/>
        <w:rPr>
          <w:b/>
          <w:bCs/>
        </w:rPr>
      </w:pPr>
      <w:r w:rsidRPr="00DF2201">
        <w:rPr>
          <w:b/>
          <w:bCs/>
        </w:rPr>
        <w:t>5. Continuous Feedback and Quality Visibility</w:t>
      </w:r>
    </w:p>
    <w:p w14:paraId="09A2486B" w14:textId="77777777" w:rsidR="00511DCC" w:rsidRPr="00B554AF" w:rsidRDefault="00511DCC" w:rsidP="008E23FC">
      <w:pPr>
        <w:pStyle w:val="CS-IBMResponseText"/>
      </w:pPr>
      <w:r w:rsidRPr="00B554AF">
        <w:t xml:space="preserve">Visibility builds trust across a multi-vendor environment. We provide </w:t>
      </w:r>
      <w:r w:rsidRPr="00C56210">
        <w:rPr>
          <w:b/>
          <w:bCs/>
        </w:rPr>
        <w:t xml:space="preserve">shared dashboards </w:t>
      </w:r>
      <w:r w:rsidRPr="00B554AF">
        <w:t>accessible to the Consortium, vendors, and county stakeholders that consolidate:</w:t>
      </w:r>
    </w:p>
    <w:p w14:paraId="31C0EB77" w14:textId="77777777" w:rsidR="00511DCC" w:rsidRPr="00B554AF" w:rsidRDefault="00511DCC" w:rsidP="00C56210">
      <w:pPr>
        <w:pStyle w:val="CS-IBMBullet1"/>
      </w:pPr>
      <w:r w:rsidRPr="00B554AF">
        <w:t>Defect leakage and test pass/fail data.</w:t>
      </w:r>
    </w:p>
    <w:p w14:paraId="51160FB8" w14:textId="77777777" w:rsidR="00511DCC" w:rsidRPr="00B554AF" w:rsidRDefault="00511DCC" w:rsidP="00C56210">
      <w:pPr>
        <w:pStyle w:val="CS-IBMBullet1"/>
      </w:pPr>
      <w:r w:rsidRPr="00B554AF">
        <w:t>Security vulnerabilities and remediation progress.</w:t>
      </w:r>
    </w:p>
    <w:p w14:paraId="5665D75D" w14:textId="77777777" w:rsidR="00511DCC" w:rsidRPr="00B554AF" w:rsidRDefault="00511DCC" w:rsidP="00C56210">
      <w:pPr>
        <w:pStyle w:val="CS-IBMBullet1"/>
      </w:pPr>
      <w:r w:rsidRPr="00B554AF">
        <w:t>Performance and accessibility metrics.</w:t>
      </w:r>
    </w:p>
    <w:p w14:paraId="1C03FC9B" w14:textId="77777777" w:rsidR="00511DCC" w:rsidRPr="00B554AF" w:rsidRDefault="00511DCC" w:rsidP="00C56210">
      <w:pPr>
        <w:pStyle w:val="CS-IBMBullet1"/>
      </w:pPr>
      <w:r w:rsidRPr="00B554AF">
        <w:t>Trends and predictive analytics drawn from historical data.</w:t>
      </w:r>
    </w:p>
    <w:p w14:paraId="5FFE7669" w14:textId="77777777" w:rsidR="00511DCC" w:rsidRPr="00B554AF" w:rsidRDefault="00511DCC" w:rsidP="008E23FC">
      <w:pPr>
        <w:pStyle w:val="CS-IBMResponseText"/>
      </w:pPr>
      <w:r w:rsidRPr="00B554AF">
        <w:t>Dashboards are integrated with familiar collaboration tools—Jira, Confluence, and Slack—so all partners can act quickly on shared insights.</w:t>
      </w:r>
    </w:p>
    <w:p w14:paraId="40118B83" w14:textId="77777777" w:rsidR="00511DCC" w:rsidRPr="00B554AF" w:rsidRDefault="00511DCC" w:rsidP="008E23FC">
      <w:pPr>
        <w:pStyle w:val="CS-IBMResponseText"/>
      </w:pPr>
      <w:r w:rsidRPr="0062601C">
        <w:rPr>
          <w:u w:val="single"/>
        </w:rPr>
        <w:t>Impact</w:t>
      </w:r>
      <w:r w:rsidRPr="00B554AF">
        <w:t>: Continuous feedback fosters transparency, accountability, and faster decision-making across all delivery partners.</w:t>
      </w:r>
    </w:p>
    <w:p w14:paraId="7C21F39B" w14:textId="77777777" w:rsidR="00511DCC" w:rsidRPr="0062601C" w:rsidRDefault="00511DCC" w:rsidP="008E23FC">
      <w:pPr>
        <w:pStyle w:val="CS-IBMResponseText"/>
        <w:rPr>
          <w:b/>
          <w:bCs/>
        </w:rPr>
      </w:pPr>
      <w:r w:rsidRPr="0062601C">
        <w:rPr>
          <w:b/>
          <w:bCs/>
        </w:rPr>
        <w:t>6. Continuous Improvement through Quality Guilds</w:t>
      </w:r>
    </w:p>
    <w:p w14:paraId="3D8B8B67" w14:textId="77777777" w:rsidR="00511DCC" w:rsidRPr="00B554AF" w:rsidRDefault="00511DCC" w:rsidP="008E23FC">
      <w:pPr>
        <w:pStyle w:val="CS-IBMResponseText"/>
      </w:pPr>
      <w:r w:rsidRPr="00B554AF">
        <w:t xml:space="preserve">To ensure DevSecOps maturity continues to advance, we establish </w:t>
      </w:r>
      <w:r w:rsidRPr="00F21DCD">
        <w:rPr>
          <w:b/>
          <w:bCs/>
        </w:rPr>
        <w:t>Quality Guilds</w:t>
      </w:r>
      <w:r w:rsidRPr="00B554AF">
        <w:t>—cross-vendor forums for sharing lessons learned, refining processes, and driving innovation.</w:t>
      </w:r>
    </w:p>
    <w:p w14:paraId="2D6FBF44" w14:textId="77777777" w:rsidR="00511DCC" w:rsidRPr="00B554AF" w:rsidRDefault="00511DCC" w:rsidP="00DE2592">
      <w:pPr>
        <w:pStyle w:val="CS-IBMBullet1"/>
      </w:pPr>
      <w:r w:rsidRPr="00DE2592">
        <w:rPr>
          <w:b/>
          <w:bCs/>
        </w:rPr>
        <w:t xml:space="preserve">Knowledge sharing: </w:t>
      </w:r>
      <w:r w:rsidRPr="00B554AF">
        <w:t>Quarterly sessions highlight successes and areas for improvement across all teams.</w:t>
      </w:r>
    </w:p>
    <w:p w14:paraId="33096D2B" w14:textId="77777777" w:rsidR="00511DCC" w:rsidRPr="00B554AF" w:rsidRDefault="00511DCC" w:rsidP="00DE2592">
      <w:pPr>
        <w:pStyle w:val="CS-IBMBullet1"/>
      </w:pPr>
      <w:r w:rsidRPr="00DE2592">
        <w:rPr>
          <w:b/>
          <w:bCs/>
        </w:rPr>
        <w:t xml:space="preserve">Standardization: </w:t>
      </w:r>
      <w:r w:rsidRPr="00B554AF">
        <w:t>Common standards for automation, testing, and security help vendors align on practices.</w:t>
      </w:r>
    </w:p>
    <w:p w14:paraId="0BADDFD1" w14:textId="77777777" w:rsidR="00511DCC" w:rsidRPr="00B554AF" w:rsidRDefault="00511DCC" w:rsidP="00DE2592">
      <w:pPr>
        <w:pStyle w:val="CS-IBMBullet1"/>
      </w:pPr>
      <w:r w:rsidRPr="00DE2592">
        <w:rPr>
          <w:b/>
          <w:bCs/>
        </w:rPr>
        <w:t>Innovation sprints:</w:t>
      </w:r>
      <w:r w:rsidRPr="00B554AF">
        <w:t xml:space="preserve"> Collaborative pilots explore new tools, including AI-driven automation and intelligent defect prediction.</w:t>
      </w:r>
    </w:p>
    <w:p w14:paraId="28701C8F" w14:textId="77777777" w:rsidR="00511DCC" w:rsidRPr="00B554AF" w:rsidRDefault="00511DCC" w:rsidP="008E23FC">
      <w:pPr>
        <w:pStyle w:val="CS-IBMResponseText"/>
      </w:pPr>
      <w:r w:rsidRPr="00DE2592">
        <w:rPr>
          <w:u w:val="single"/>
        </w:rPr>
        <w:t>Impact</w:t>
      </w:r>
      <w:r w:rsidRPr="00B554AF">
        <w:t>: The Quality Guild model strengthens collaboration, eliminates duplication of effort, and ensures continuous alignment with the Consortium’s vision.</w:t>
      </w:r>
    </w:p>
    <w:p w14:paraId="7004664C" w14:textId="77777777" w:rsidR="00511DCC" w:rsidRPr="00B554AF" w:rsidRDefault="00511DCC" w:rsidP="008E23FC">
      <w:pPr>
        <w:pStyle w:val="CS-IBMResponseText"/>
      </w:pPr>
      <w:r w:rsidRPr="00B554AF">
        <w:t>Outputs and recommendations from each Quality Guild are reviewed through the Consortium’s established governance forums, ensuring that quality improvements are visible, measurable, and traceable across all participating vendor teams.</w:t>
      </w:r>
    </w:p>
    <w:p w14:paraId="4B6A2F7A" w14:textId="77777777" w:rsidR="00DD637A" w:rsidRDefault="00DD637A" w:rsidP="008E23FC">
      <w:pPr>
        <w:pStyle w:val="CS-IBMResponseText"/>
        <w:rPr>
          <w:color w:val="0070C0"/>
          <w:sz w:val="28"/>
          <w:szCs w:val="28"/>
        </w:rPr>
      </w:pPr>
    </w:p>
    <w:p w14:paraId="73D57555" w14:textId="77777777" w:rsidR="00511DCC" w:rsidRPr="00DD637A" w:rsidRDefault="00511DCC" w:rsidP="008E23FC">
      <w:pPr>
        <w:pStyle w:val="CS-IBMResponseText"/>
        <w:rPr>
          <w:color w:val="0070C0"/>
          <w:sz w:val="28"/>
          <w:szCs w:val="28"/>
        </w:rPr>
      </w:pPr>
      <w:r w:rsidRPr="00DD637A">
        <w:rPr>
          <w:color w:val="0070C0"/>
          <w:sz w:val="28"/>
          <w:szCs w:val="28"/>
        </w:rPr>
        <w:lastRenderedPageBreak/>
        <w:t>Delivering Measurable Benefits for the Consortium</w:t>
      </w:r>
    </w:p>
    <w:p w14:paraId="5F03244E" w14:textId="77777777" w:rsidR="00511DCC" w:rsidRPr="00B554AF" w:rsidRDefault="00511DCC" w:rsidP="008E23FC">
      <w:pPr>
        <w:pStyle w:val="CS-IBMResponseText"/>
      </w:pPr>
      <w:r w:rsidRPr="00B554AF">
        <w:t>Our DevSecOps-enabled QA approach directly supports the Consortium’s priorities:</w:t>
      </w:r>
    </w:p>
    <w:p w14:paraId="1694A9DE" w14:textId="77777777" w:rsidR="00511DCC" w:rsidRPr="00B554AF" w:rsidRDefault="00511DCC" w:rsidP="00423FB8">
      <w:pPr>
        <w:pStyle w:val="CS-IBMBullet1"/>
      </w:pPr>
      <w:r w:rsidRPr="00423FB8">
        <w:rPr>
          <w:b/>
          <w:bCs/>
        </w:rPr>
        <w:t>AI and automation:</w:t>
      </w:r>
      <w:r w:rsidRPr="00B554AF">
        <w:t xml:space="preserve"> Self-healing scripts, AI-based prioritization, and in-sprint testing minimize manual effort.</w:t>
      </w:r>
    </w:p>
    <w:p w14:paraId="604561D8" w14:textId="77777777" w:rsidR="00511DCC" w:rsidRPr="00EC752D" w:rsidRDefault="00511DCC" w:rsidP="00423FB8">
      <w:pPr>
        <w:pStyle w:val="CS-IBMBullet1"/>
        <w:rPr>
          <w:b/>
          <w:bCs/>
        </w:rPr>
      </w:pPr>
      <w:r w:rsidRPr="00423FB8">
        <w:rPr>
          <w:b/>
          <w:bCs/>
        </w:rPr>
        <w:t>Cost efficiency:</w:t>
      </w:r>
      <w:r w:rsidRPr="00B554AF">
        <w:t xml:space="preserve"> Early defect detection reduces rework costs by </w:t>
      </w:r>
      <w:r w:rsidRPr="00EC752D">
        <w:rPr>
          <w:b/>
          <w:bCs/>
        </w:rPr>
        <w:t>30–50%.</w:t>
      </w:r>
    </w:p>
    <w:p w14:paraId="60C77E26" w14:textId="77777777" w:rsidR="00511DCC" w:rsidRPr="00B554AF" w:rsidRDefault="00511DCC" w:rsidP="00423FB8">
      <w:pPr>
        <w:pStyle w:val="CS-IBMBullet1"/>
      </w:pPr>
      <w:r w:rsidRPr="00423FB8">
        <w:rPr>
          <w:b/>
          <w:bCs/>
        </w:rPr>
        <w:t>Empowered teams</w:t>
      </w:r>
      <w:r w:rsidRPr="00B554AF">
        <w:t>: Embedded QA engineers within DevOps squads accelerate throughput and collaboration.</w:t>
      </w:r>
    </w:p>
    <w:p w14:paraId="603F5A1C" w14:textId="1C8A0A9D" w:rsidR="00511DCC" w:rsidRPr="00B554AF" w:rsidRDefault="00511DCC" w:rsidP="00423FB8">
      <w:pPr>
        <w:pStyle w:val="CS-IBMBullet1"/>
      </w:pPr>
      <w:r w:rsidRPr="00423FB8">
        <w:rPr>
          <w:b/>
          <w:bCs/>
        </w:rPr>
        <w:t>Security assurance:</w:t>
      </w:r>
      <w:r w:rsidRPr="00B554AF">
        <w:t xml:space="preserve"> Integrated security scanning protects resident data and program integrity.</w:t>
      </w:r>
    </w:p>
    <w:p w14:paraId="3EE52A0F" w14:textId="12448C7F" w:rsidR="00DD637A" w:rsidRPr="00F1036F" w:rsidRDefault="00511DCC" w:rsidP="00F1036F">
      <w:pPr>
        <w:pStyle w:val="CS-IBMBullet1"/>
      </w:pPr>
      <w:r w:rsidRPr="00423FB8">
        <w:rPr>
          <w:b/>
          <w:bCs/>
        </w:rPr>
        <w:t xml:space="preserve">Comprehensive coverage: </w:t>
      </w:r>
      <w:r w:rsidRPr="00B554AF">
        <w:t>QA validates functionality, performance, accessibility, and security end-to-end.</w:t>
      </w:r>
    </w:p>
    <w:p w14:paraId="77023611" w14:textId="77777777" w:rsidR="00511DCC" w:rsidRPr="00DD637A" w:rsidRDefault="00511DCC" w:rsidP="009664A5">
      <w:pPr>
        <w:pStyle w:val="CS-IBMResponseText"/>
        <w:spacing w:before="240"/>
        <w:rPr>
          <w:color w:val="0070C0"/>
          <w:sz w:val="28"/>
          <w:szCs w:val="28"/>
        </w:rPr>
      </w:pPr>
      <w:r w:rsidRPr="00DD637A">
        <w:rPr>
          <w:color w:val="0070C0"/>
          <w:sz w:val="28"/>
          <w:szCs w:val="28"/>
        </w:rPr>
        <w:t>Operational Staffing for DevSecOps Integration</w:t>
      </w:r>
    </w:p>
    <w:p w14:paraId="2AE122E3" w14:textId="77777777" w:rsidR="00511DCC" w:rsidRPr="0083220D" w:rsidRDefault="00511DCC" w:rsidP="008E23FC">
      <w:pPr>
        <w:pStyle w:val="CS-IBMResponseText"/>
      </w:pPr>
      <w:r w:rsidRPr="0083220D">
        <w:rPr>
          <w:i/>
          <w:iCs/>
        </w:rPr>
        <w:t>(See Section UA6 for the full Operational Staffing Model.)</w:t>
      </w:r>
      <w:r w:rsidRPr="0083220D">
        <w:t xml:space="preserve"> This model provides the same balance of onsite leadership and nearshore scalability that underpins all CalSAWS QA activities.</w:t>
      </w:r>
    </w:p>
    <w:p w14:paraId="1A0429EC" w14:textId="4D6142B0" w:rsidR="00511DCC" w:rsidRPr="0083220D" w:rsidRDefault="00511DCC" w:rsidP="008E23FC">
      <w:pPr>
        <w:pStyle w:val="CS-IBMResponseText"/>
      </w:pPr>
      <w:r w:rsidRPr="0083220D">
        <w:t xml:space="preserve">Onsite QA leadership roles in </w:t>
      </w:r>
      <w:r w:rsidR="008A3F6C">
        <w:t>Gold River</w:t>
      </w:r>
      <w:r w:rsidRPr="0083220D">
        <w:t>—including the QA Project Manager, Test Manager, and Security SMEs—work daily with Consortium staff and vendor partners to oversee automation, regression, and release readiness. Nearshore CIC surge pods in Lansing add automation, security, and performance engineers who can scale by 30–40% within weeks to meet legislative or modernization demands.</w:t>
      </w:r>
    </w:p>
    <w:p w14:paraId="2CC8F2D7" w14:textId="77777777" w:rsidR="00511DCC" w:rsidRPr="0083220D" w:rsidRDefault="00511DCC" w:rsidP="008E23FC">
      <w:pPr>
        <w:pStyle w:val="CS-IBMResponseText"/>
      </w:pPr>
      <w:r w:rsidRPr="0083220D">
        <w:t>With 95%+ retention and continuous documentation practices, this structure ensures stability, transparency, and cross-vendor alignment throughout CalSAWS’ DevSecOps lifecycle.</w:t>
      </w:r>
    </w:p>
    <w:p w14:paraId="3418ED1C" w14:textId="77777777" w:rsidR="00511DCC" w:rsidRPr="00DD637A" w:rsidRDefault="00511DCC" w:rsidP="008E23FC">
      <w:pPr>
        <w:pStyle w:val="CS-IBMResponseText"/>
        <w:rPr>
          <w:color w:val="0070C0"/>
          <w:sz w:val="28"/>
          <w:szCs w:val="28"/>
        </w:rPr>
      </w:pPr>
      <w:r w:rsidRPr="00DD637A">
        <w:rPr>
          <w:color w:val="0070C0"/>
          <w:sz w:val="28"/>
          <w:szCs w:val="28"/>
        </w:rPr>
        <w:t>Tools and Platforms</w:t>
      </w:r>
    </w:p>
    <w:p w14:paraId="3B4D1E31" w14:textId="77777777" w:rsidR="00511DCC" w:rsidRPr="0083220D" w:rsidRDefault="00511DCC" w:rsidP="008E23FC">
      <w:pPr>
        <w:pStyle w:val="CS-IBMResponseText"/>
      </w:pPr>
      <w:r w:rsidRPr="0083220D">
        <w:t>To support CalSAWS’ DevSecOps objectives, we bring an integrated toolset that leverages both IBM platforms and open industry standards:</w:t>
      </w:r>
    </w:p>
    <w:p w14:paraId="188C2188" w14:textId="77777777" w:rsidR="00511DCC" w:rsidRPr="00B554AF" w:rsidRDefault="00511DCC" w:rsidP="00DF2390">
      <w:pPr>
        <w:pStyle w:val="CS-IBMBullet1"/>
      </w:pPr>
      <w:r w:rsidRPr="00DF2390">
        <w:rPr>
          <w:b/>
          <w:bCs/>
        </w:rPr>
        <w:t xml:space="preserve">IBM IGNITE Platform: </w:t>
      </w:r>
      <w:r w:rsidRPr="00B554AF">
        <w:t>Enterprise-grade framework that connects planning, coding, testing, and deployment activities into a single ecosystem.</w:t>
      </w:r>
    </w:p>
    <w:p w14:paraId="52EF2F2E" w14:textId="77777777" w:rsidR="00511DCC" w:rsidRPr="00B554AF" w:rsidRDefault="00511DCC" w:rsidP="00DF2390">
      <w:pPr>
        <w:pStyle w:val="CS-IBMBullet1"/>
      </w:pPr>
      <w:r w:rsidRPr="00DF2390">
        <w:rPr>
          <w:b/>
          <w:bCs/>
        </w:rPr>
        <w:t xml:space="preserve">GitHub Copilot: </w:t>
      </w:r>
      <w:r w:rsidRPr="00B554AF">
        <w:t>AI-assisted coding and test-generation tool that accelerates secure development.</w:t>
      </w:r>
    </w:p>
    <w:p w14:paraId="3CF1CA35" w14:textId="77777777" w:rsidR="00511DCC" w:rsidRPr="00B554AF" w:rsidRDefault="00511DCC" w:rsidP="00DF2390">
      <w:pPr>
        <w:pStyle w:val="CS-IBMBullet1"/>
      </w:pPr>
      <w:r w:rsidRPr="00DF2390">
        <w:rPr>
          <w:b/>
          <w:bCs/>
        </w:rPr>
        <w:t>SAST/DAST/SCA Tools:</w:t>
      </w:r>
      <w:r w:rsidRPr="00B554AF">
        <w:t xml:space="preserve"> Industry-standard scanning tools embedded in CI/CD pipelines to detect and resolve vulnerabilities automatically.</w:t>
      </w:r>
    </w:p>
    <w:p w14:paraId="22E72C92" w14:textId="77777777" w:rsidR="00511DCC" w:rsidRPr="00B554AF" w:rsidRDefault="00511DCC" w:rsidP="00DF2390">
      <w:pPr>
        <w:pStyle w:val="CS-IBMBullet1"/>
      </w:pPr>
      <w:r w:rsidRPr="00DF2390">
        <w:rPr>
          <w:b/>
          <w:bCs/>
        </w:rPr>
        <w:t xml:space="preserve">Chaos Testing Frameworks: </w:t>
      </w:r>
      <w:r w:rsidRPr="00B554AF">
        <w:t>Validate resilience by simulating real-world system failures.</w:t>
      </w:r>
    </w:p>
    <w:p w14:paraId="19A5A44C" w14:textId="77777777" w:rsidR="00511DCC" w:rsidRPr="00B554AF" w:rsidRDefault="00511DCC" w:rsidP="00DF2390">
      <w:pPr>
        <w:pStyle w:val="CS-IBMBullet1"/>
      </w:pPr>
      <w:r w:rsidRPr="00DF2390">
        <w:rPr>
          <w:b/>
          <w:bCs/>
        </w:rPr>
        <w:t xml:space="preserve">Synthetic Monitoring: </w:t>
      </w:r>
      <w:r w:rsidRPr="00B554AF">
        <w:t>Tracks uptime and performance by simulating user interactions across counties.</w:t>
      </w:r>
    </w:p>
    <w:p w14:paraId="35CEDBF1" w14:textId="77777777" w:rsidR="00A82685" w:rsidRDefault="00A82685" w:rsidP="00A82685">
      <w:pPr>
        <w:pStyle w:val="CS-IBMBullet1"/>
        <w:numPr>
          <w:ilvl w:val="0"/>
          <w:numId w:val="0"/>
        </w:numPr>
        <w:ind w:left="360" w:hanging="360"/>
      </w:pPr>
    </w:p>
    <w:p w14:paraId="5E5009B0" w14:textId="77777777" w:rsidR="00A06CBD" w:rsidRDefault="00A06CBD" w:rsidP="00A82685">
      <w:pPr>
        <w:pStyle w:val="CS-IBMBullet1"/>
        <w:numPr>
          <w:ilvl w:val="0"/>
          <w:numId w:val="0"/>
        </w:numPr>
        <w:ind w:left="360" w:hanging="360"/>
      </w:pPr>
    </w:p>
    <w:p w14:paraId="26481F5D" w14:textId="77777777" w:rsidR="00A06CBD" w:rsidRDefault="00A06CBD" w:rsidP="00A82685">
      <w:pPr>
        <w:pStyle w:val="CS-IBMBullet1"/>
        <w:numPr>
          <w:ilvl w:val="0"/>
          <w:numId w:val="0"/>
        </w:numPr>
        <w:ind w:left="360" w:hanging="360"/>
      </w:pPr>
    </w:p>
    <w:p w14:paraId="5781DE1D" w14:textId="77777777" w:rsidR="00A06CBD" w:rsidRPr="00B554AF" w:rsidRDefault="00A06CBD" w:rsidP="00A82685">
      <w:pPr>
        <w:pStyle w:val="CS-IBMBullet1"/>
        <w:numPr>
          <w:ilvl w:val="0"/>
          <w:numId w:val="0"/>
        </w:numPr>
        <w:ind w:left="360" w:hanging="360"/>
      </w:pPr>
    </w:p>
    <w:p w14:paraId="539DABA6" w14:textId="77777777" w:rsidR="00511DCC" w:rsidRPr="00DD637A" w:rsidRDefault="00511DCC" w:rsidP="008E23FC">
      <w:pPr>
        <w:pStyle w:val="CS-IBMResponseText"/>
        <w:rPr>
          <w:color w:val="0070C0"/>
          <w:sz w:val="28"/>
          <w:szCs w:val="28"/>
        </w:rPr>
      </w:pPr>
      <w:r w:rsidRPr="00DD637A">
        <w:rPr>
          <w:color w:val="0070C0"/>
          <w:sz w:val="28"/>
          <w:szCs w:val="28"/>
        </w:rPr>
        <w:lastRenderedPageBreak/>
        <w:t>Proven Experience in Complex, Multi-Vendor Environments</w:t>
      </w:r>
    </w:p>
    <w:p w14:paraId="62CEE3B6" w14:textId="77777777" w:rsidR="00511DCC" w:rsidRPr="0083220D" w:rsidRDefault="00511DCC" w:rsidP="00805930">
      <w:pPr>
        <w:pStyle w:val="CS-IBMBullet1"/>
      </w:pPr>
      <w:r w:rsidRPr="00805930">
        <w:rPr>
          <w:b/>
          <w:bCs/>
        </w:rPr>
        <w:t xml:space="preserve">Large U.S. Airline: </w:t>
      </w:r>
      <w:r w:rsidRPr="00B554AF">
        <w:t>Shift-left QA and security embedded into a DevSecOps pipeline involving five vendor team</w:t>
      </w:r>
      <w:r w:rsidRPr="0083220D">
        <w:t>s → 98% defect containment, 80% in-sprint automation, 40% faster releases.</w:t>
      </w:r>
    </w:p>
    <w:p w14:paraId="360296E2" w14:textId="77777777" w:rsidR="00511DCC" w:rsidRPr="0083220D" w:rsidRDefault="00511DCC" w:rsidP="00805930">
      <w:pPr>
        <w:pStyle w:val="CS-IBMBullet1"/>
      </w:pPr>
      <w:r w:rsidRPr="00805930">
        <w:rPr>
          <w:b/>
          <w:bCs/>
        </w:rPr>
        <w:t>Global Financial Institution:</w:t>
      </w:r>
      <w:r w:rsidRPr="00B554AF">
        <w:t xml:space="preserve"> Automated regression and security scans across multiple development vendors → release predictability improved 35%, vulnerabilities reduce</w:t>
      </w:r>
      <w:r w:rsidRPr="0083220D">
        <w:t>d 60%.</w:t>
      </w:r>
    </w:p>
    <w:p w14:paraId="1C6326CF" w14:textId="77777777" w:rsidR="00511DCC" w:rsidRPr="00B554AF" w:rsidRDefault="00511DCC" w:rsidP="00805930">
      <w:pPr>
        <w:pStyle w:val="CS-IBMBullet1"/>
      </w:pPr>
      <w:r w:rsidRPr="00805930">
        <w:rPr>
          <w:b/>
          <w:bCs/>
        </w:rPr>
        <w:t xml:space="preserve">State Medicaid Modernization: </w:t>
      </w:r>
      <w:r w:rsidRPr="00B554AF">
        <w:t>Collaboration with multiple state IT and integration vendors → defect l</w:t>
      </w:r>
      <w:r w:rsidRPr="0083220D">
        <w:t xml:space="preserve">eakage &lt;1%, on-time </w:t>
      </w:r>
      <w:r w:rsidRPr="00B554AF">
        <w:t>compliance with ACA mandates.</w:t>
      </w:r>
    </w:p>
    <w:p w14:paraId="1494C837" w14:textId="250C3E40" w:rsidR="00DD637A" w:rsidRPr="008C3C1D" w:rsidRDefault="00511DCC" w:rsidP="008E23FC">
      <w:pPr>
        <w:pStyle w:val="CS-IBMResponseText"/>
      </w:pPr>
      <w:r w:rsidRPr="00B554AF">
        <w:t>Each example reflects successful integration into large, multi-contractor ecosystems, directly comparable to the CalSAWS environment.</w:t>
      </w:r>
    </w:p>
    <w:p w14:paraId="4ECC462F" w14:textId="77777777" w:rsidR="00511DCC" w:rsidRPr="00DD637A" w:rsidRDefault="00511DCC" w:rsidP="008E23FC">
      <w:pPr>
        <w:pStyle w:val="CS-IBMResponseText"/>
        <w:rPr>
          <w:color w:val="0070C0"/>
          <w:sz w:val="28"/>
          <w:szCs w:val="28"/>
        </w:rPr>
      </w:pPr>
      <w:r w:rsidRPr="00DD637A">
        <w:rPr>
          <w:color w:val="0070C0"/>
          <w:sz w:val="28"/>
          <w:szCs w:val="28"/>
        </w:rPr>
        <w:t>Key Metrics of Success</w:t>
      </w:r>
    </w:p>
    <w:p w14:paraId="0DAD485A" w14:textId="77777777" w:rsidR="00511DCC" w:rsidRPr="00B554AF" w:rsidRDefault="00511DCC" w:rsidP="008E23FC">
      <w:pPr>
        <w:pStyle w:val="CS-IBMResponseText"/>
      </w:pPr>
      <w:r w:rsidRPr="00B554AF">
        <w:t>Defect containment: approximately 98% defects caught in early development and integration stages.</w:t>
      </w:r>
    </w:p>
    <w:p w14:paraId="4BBD5EEA" w14:textId="77777777" w:rsidR="00511DCC" w:rsidRPr="00B554AF" w:rsidRDefault="00511DCC" w:rsidP="008E23FC">
      <w:pPr>
        <w:pStyle w:val="CS-IBMResponseText"/>
      </w:pPr>
      <w:r w:rsidRPr="00B554AF">
        <w:t>In-sprint automation: above 80% automation coverage.</w:t>
      </w:r>
    </w:p>
    <w:p w14:paraId="3AEF1604" w14:textId="77777777" w:rsidR="00511DCC" w:rsidRPr="00B554AF" w:rsidRDefault="00511DCC" w:rsidP="000D13A4">
      <w:pPr>
        <w:pStyle w:val="CS-IBMBullet1"/>
      </w:pPr>
      <w:r w:rsidRPr="000D13A4">
        <w:rPr>
          <w:b/>
          <w:bCs/>
        </w:rPr>
        <w:t>Velocity</w:t>
      </w:r>
      <w:r w:rsidRPr="00B554AF">
        <w:t>: around 40% improvement in Agile throughput.</w:t>
      </w:r>
    </w:p>
    <w:p w14:paraId="012C7D96" w14:textId="77777777" w:rsidR="00511DCC" w:rsidRPr="00B554AF" w:rsidRDefault="00511DCC" w:rsidP="000D13A4">
      <w:pPr>
        <w:pStyle w:val="CS-IBMBullet1"/>
      </w:pPr>
      <w:r w:rsidRPr="000D13A4">
        <w:rPr>
          <w:b/>
          <w:bCs/>
        </w:rPr>
        <w:t>Security</w:t>
      </w:r>
      <w:r w:rsidRPr="00B554AF">
        <w:t>: vulnerability remediation time reduced by up to 60%.</w:t>
      </w:r>
    </w:p>
    <w:p w14:paraId="4682E8F8" w14:textId="36F54648" w:rsidR="00DD637A" w:rsidRPr="008C3C1D" w:rsidRDefault="00511DCC" w:rsidP="008C3C1D">
      <w:pPr>
        <w:pStyle w:val="CS-IBMBullet1"/>
      </w:pPr>
      <w:r w:rsidRPr="000D13A4">
        <w:rPr>
          <w:b/>
          <w:bCs/>
        </w:rPr>
        <w:t>Resiliency</w:t>
      </w:r>
      <w:r w:rsidRPr="00B554AF">
        <w:t>: about 99.9% uptime validated through chaos testing.</w:t>
      </w:r>
    </w:p>
    <w:p w14:paraId="346EB5D5" w14:textId="77777777" w:rsidR="00511DCC" w:rsidRPr="00DD637A" w:rsidRDefault="00511DCC" w:rsidP="00A14B21">
      <w:pPr>
        <w:pStyle w:val="CS-IBMResponseText"/>
        <w:spacing w:before="240"/>
        <w:rPr>
          <w:color w:val="0070C0"/>
          <w:sz w:val="28"/>
          <w:szCs w:val="28"/>
        </w:rPr>
      </w:pPr>
      <w:r w:rsidRPr="00DD637A">
        <w:rPr>
          <w:color w:val="0070C0"/>
          <w:sz w:val="28"/>
          <w:szCs w:val="28"/>
        </w:rPr>
        <w:t>A Proven Partner for CalSAWS’ DevSecOps Evolution</w:t>
      </w:r>
    </w:p>
    <w:p w14:paraId="164276D3" w14:textId="77777777" w:rsidR="00511DCC" w:rsidRPr="0083220D" w:rsidRDefault="00511DCC" w:rsidP="008E23FC">
      <w:pPr>
        <w:pStyle w:val="CS-IBMResponseText"/>
      </w:pPr>
      <w:r w:rsidRPr="0083220D">
        <w:t>The Consortium has asked for a partner capable of advancing DevSecOps maturity across one of California’s most critical systems.</w:t>
      </w:r>
    </w:p>
    <w:p w14:paraId="0ED52E98" w14:textId="77777777" w:rsidR="00511DCC" w:rsidRPr="0083220D" w:rsidRDefault="00511DCC" w:rsidP="008E23FC">
      <w:pPr>
        <w:pStyle w:val="CS-IBMResponseText"/>
      </w:pPr>
      <w:r w:rsidRPr="0083220D">
        <w:t>We bring the scale, expertise, and collaborative mindset to deliver exactly that. As a global leader in DevSecOps and Quality Engineering, IBM has implemented this model successfully across government, healthcare, and enterprise clients—often in environments as complex and multi-vendor as CalSAWS.</w:t>
      </w:r>
    </w:p>
    <w:p w14:paraId="23694650" w14:textId="77777777" w:rsidR="00511DCC" w:rsidRPr="0083220D" w:rsidRDefault="00511DCC" w:rsidP="008E23FC">
      <w:pPr>
        <w:pStyle w:val="CS-IBMResponseText"/>
      </w:pPr>
      <w:r w:rsidRPr="0083220D">
        <w:t>IBM’s role is not to replace the existing ecosystem but to strengthen it—integrating, collaborating, and aligning every participant toward a single goal: secure, stable, and high-performing releases that Californians can rely on.</w:t>
      </w:r>
    </w:p>
    <w:p w14:paraId="18BB3907" w14:textId="77777777" w:rsidR="00511DCC" w:rsidRPr="0083220D" w:rsidRDefault="00511DCC" w:rsidP="008E23FC">
      <w:pPr>
        <w:pStyle w:val="CS-IBMResponseText"/>
      </w:pPr>
      <w:r w:rsidRPr="0083220D">
        <w:t>Together, these integrated approaches—Quality Engineering, User-Centered Design, intelligent automation, and DevSecOps enablement—form a unified QA strategy that directly supports the Consortium’s mission. Through this partnership, CalSAWS gains a proactive, data-driven quality model that safeguards reliability, accelerates innovation, and ensures every Californian continues to receive timely, secure, and equitable services.</w:t>
      </w:r>
    </w:p>
    <w:p w14:paraId="61878816" w14:textId="77777777" w:rsidR="00511DCC" w:rsidRPr="00B554AF" w:rsidRDefault="00511DCC" w:rsidP="00511DCC"/>
    <w:p w14:paraId="64945B96" w14:textId="1BE61079" w:rsidR="007929DB" w:rsidRDefault="007929DB" w:rsidP="007929DB">
      <w:pPr>
        <w:pStyle w:val="CS-IBMResponseText"/>
      </w:pPr>
      <w:r>
        <w:br w:type="page"/>
      </w:r>
    </w:p>
    <w:p w14:paraId="402C11B4" w14:textId="5334370B" w:rsidR="00767673" w:rsidRDefault="00767673" w:rsidP="00767673">
      <w:pPr>
        <w:pStyle w:val="Heading2"/>
      </w:pPr>
      <w:bookmarkStart w:id="72" w:name="_Toc213070155"/>
      <w:r w:rsidRPr="00767673">
        <w:lastRenderedPageBreak/>
        <w:t>Approach to Independent Test</w:t>
      </w:r>
      <w:bookmarkEnd w:id="72"/>
    </w:p>
    <w:p w14:paraId="3CCB8C1F" w14:textId="77777777" w:rsidR="00EA078F" w:rsidRPr="00DB0EFD" w:rsidRDefault="00EA078F" w:rsidP="00EA078F">
      <w:pPr>
        <w:pStyle w:val="Heading3"/>
      </w:pPr>
      <w:bookmarkStart w:id="73" w:name="_Toc213070156"/>
      <w:r w:rsidRPr="00DB0EFD">
        <w:t>UA10</w:t>
      </w:r>
      <w:r>
        <w:t xml:space="preserve"> Approach for Independent Test</w:t>
      </w:r>
      <w:bookmarkEnd w:id="73"/>
    </w:p>
    <w:p w14:paraId="67CB4FC9" w14:textId="731F0A51" w:rsidR="00EA078F" w:rsidRPr="00521033" w:rsidRDefault="00EA078F" w:rsidP="00CF7600">
      <w:pPr>
        <w:pStyle w:val="CS-RFPBodyText"/>
        <w:numPr>
          <w:ilvl w:val="0"/>
          <w:numId w:val="39"/>
        </w:numPr>
        <w:spacing w:before="0" w:after="0"/>
        <w:rPr>
          <w:i/>
          <w:szCs w:val="22"/>
        </w:rPr>
      </w:pPr>
      <w:r w:rsidRPr="00521033">
        <w:rPr>
          <w:i/>
          <w:szCs w:val="22"/>
        </w:rPr>
        <w:t>Describe your approach and operational method(s) to establish the initial set of independent test cases and the requisite test Data.</w:t>
      </w:r>
    </w:p>
    <w:p w14:paraId="7DC0B9A4" w14:textId="77777777" w:rsidR="00EA078F" w:rsidRPr="00521033" w:rsidRDefault="00EA078F" w:rsidP="00CF7600">
      <w:pPr>
        <w:pStyle w:val="CS-RFPBodyText"/>
        <w:numPr>
          <w:ilvl w:val="0"/>
          <w:numId w:val="39"/>
        </w:numPr>
        <w:spacing w:before="0" w:after="0"/>
        <w:rPr>
          <w:i/>
          <w:szCs w:val="22"/>
        </w:rPr>
      </w:pPr>
      <w:r w:rsidRPr="00521033">
        <w:rPr>
          <w:i/>
          <w:szCs w:val="22"/>
        </w:rPr>
        <w:t>Provide demonstrated examples from previous QA projects as applicable.</w:t>
      </w:r>
    </w:p>
    <w:p w14:paraId="5892FAF2" w14:textId="58D41830" w:rsidR="001B72B8" w:rsidRPr="00185BD5" w:rsidRDefault="001B72B8" w:rsidP="001B72B8">
      <w:pPr>
        <w:pStyle w:val="CS-IBMResponseText"/>
        <w:rPr>
          <w:b/>
          <w:bCs/>
          <w:color w:val="0070C0"/>
        </w:rPr>
      </w:pPr>
    </w:p>
    <w:p w14:paraId="615C7197" w14:textId="6101DA6D" w:rsidR="001E3B68" w:rsidRPr="00CA2B9A" w:rsidRDefault="001E3B68" w:rsidP="001E3B68">
      <w:pPr>
        <w:pStyle w:val="CS-IBMResponseText"/>
        <w:rPr>
          <w:i/>
          <w:sz w:val="28"/>
          <w:szCs w:val="28"/>
        </w:rPr>
      </w:pPr>
      <w:r>
        <w:rPr>
          <w:color w:val="0070C0"/>
          <w:sz w:val="28"/>
          <w:szCs w:val="28"/>
        </w:rPr>
        <w:t>Executive Summary</w:t>
      </w:r>
    </w:p>
    <w:p w14:paraId="19B2021D" w14:textId="63A6EB2B" w:rsidR="001B72B8" w:rsidRPr="00DB0EFD" w:rsidRDefault="001B72B8" w:rsidP="001B72B8">
      <w:pPr>
        <w:pStyle w:val="CS-IBMResponseText"/>
      </w:pPr>
      <w:r w:rsidRPr="00DB0EFD">
        <w:t xml:space="preserve">IBM’s Independent Testing approach builds upon the governance and deliverable foundation established in the preceding </w:t>
      </w:r>
      <w:r w:rsidR="00907ABC">
        <w:t xml:space="preserve">Understanding and Approach </w:t>
      </w:r>
      <w:r w:rsidRPr="00DB0EFD">
        <w:t>sections, transforming those principles into a scalable, data-driven QA capability that delivers measurable assurance across the CalSAWS ecosystem. Drawing on IBM’s global QA Centers of Excellence and deep experience supporting large statewide systems, this section describes how IBM will establish governed, traceable, and automated independent testing aligned with the Consortium’s QA governance, release cadence, and deliverable approval processes.</w:t>
      </w:r>
    </w:p>
    <w:p w14:paraId="5D07D119" w14:textId="77777777" w:rsidR="001B72B8" w:rsidRPr="00DB0EFD" w:rsidRDefault="001B72B8" w:rsidP="001B72B8">
      <w:pPr>
        <w:pStyle w:val="CS-IBMResponseText"/>
      </w:pPr>
      <w:r w:rsidRPr="00DB0EFD">
        <w:t>The approach encompasses the full lifecycle of test case design, data management, and readiness reporting, anchored in the approved Quality Assurance Plan, QA Schedule, and QA Metrics deliverables. It also introduces IBM’s framework for continuous improvement, where analytics, automation, and collaboration drive QA maturity and efficiency across release cycles. Together, these sections demonstrate how IBM’s independent QA model strengthens CalSAWS’ governance, accelerates validation, and provides the transparency and confidence needed to sustain consistent quality outcomes across all program releases.</w:t>
      </w:r>
    </w:p>
    <w:p w14:paraId="4211C68F" w14:textId="170A165B" w:rsidR="003B17E4" w:rsidRPr="00CA2B9A" w:rsidRDefault="003B17E4" w:rsidP="003B17E4">
      <w:pPr>
        <w:pStyle w:val="CS-IBMResponseText"/>
        <w:rPr>
          <w:i/>
          <w:sz w:val="28"/>
          <w:szCs w:val="28"/>
        </w:rPr>
      </w:pPr>
      <w:r w:rsidRPr="00CA2B9A">
        <w:rPr>
          <w:color w:val="0070C0"/>
          <w:sz w:val="28"/>
          <w:szCs w:val="28"/>
        </w:rPr>
        <w:t>Introduction</w:t>
      </w:r>
      <w:r w:rsidRPr="00CA2B9A">
        <w:rPr>
          <w:i/>
          <w:color w:val="0070C0"/>
          <w:sz w:val="28"/>
          <w:szCs w:val="28"/>
        </w:rPr>
        <w:t xml:space="preserve"> </w:t>
      </w:r>
    </w:p>
    <w:p w14:paraId="3EFB43E0" w14:textId="2203BD7D" w:rsidR="003B17E4" w:rsidRPr="0023169E" w:rsidRDefault="003B17E4" w:rsidP="003B17E4">
      <w:pPr>
        <w:pStyle w:val="CS-IBMResponseText"/>
      </w:pPr>
      <w:r w:rsidRPr="0023169E">
        <w:t>CalSAWS has defined a bold vision for an Independent Quality Assurance (IQA) function that goes beyond traditional testing—one that delivers proactive defect prevention, continuous insight, and measurable confidence in system readiness across a highly integrated, multi-vendor environment. IBM fully aligns with this vision. As a long-standing QA partner to the State of California and other large public sector programs nationwide, IBM brings the scale, automation maturity, and governance expertise required to operationalize a world-class IQA capability from Day One.</w:t>
      </w:r>
    </w:p>
    <w:p w14:paraId="4867BFBE" w14:textId="3B12C9FF" w:rsidR="003B17E4" w:rsidRPr="0023169E" w:rsidRDefault="003B17E4" w:rsidP="003B17E4">
      <w:pPr>
        <w:pStyle w:val="CS-IBMResponseText"/>
      </w:pPr>
      <w:r w:rsidRPr="0023169E">
        <w:t>IBM’s approach combines governance maturity, innovation, and enterprise-level automation. Unlike vendors that focus solely on execution, IBM builds quality into every phase of the lifecycle through structured governance, model-based test design, AI-driven optimization, and disciplined test data management. We draw on global QA Centers of Excellence and decades of experience supporting large eligibility and benefits systems, ensuring that our methods are proven, scalable, and tailored to CalSAWS’ collaboration model.</w:t>
      </w:r>
    </w:p>
    <w:p w14:paraId="4F33ADEB" w14:textId="59E8A077" w:rsidR="003B17E4" w:rsidRPr="0023169E" w:rsidRDefault="003B17E4" w:rsidP="003B17E4">
      <w:pPr>
        <w:pStyle w:val="CS-IBMResponseText"/>
      </w:pPr>
      <w:r w:rsidRPr="0023169E">
        <w:t>IBM also understands that establishing the initial set of independent test cases is not merely a technical task—it requires deep knowledge of CalSAWS business rules, county workflows, policy-driven change (e.g., HR 1, Medi-Cal updates), and the dynamics of multi-vendor integration with</w:t>
      </w:r>
      <w:r w:rsidR="00D51F5E">
        <w:t xml:space="preserve"> the </w:t>
      </w:r>
      <w:r w:rsidR="001E2E9F">
        <w:t xml:space="preserve">incumbent </w:t>
      </w:r>
      <w:r w:rsidR="00D51F5E">
        <w:t xml:space="preserve"> CalSAWS vendors (Deloitte, Gainwell</w:t>
      </w:r>
      <w:r w:rsidR="001E2E9F">
        <w:t xml:space="preserve"> </w:t>
      </w:r>
      <w:r w:rsidR="001E2E9F">
        <w:lastRenderedPageBreak/>
        <w:t>BenefitsCal</w:t>
      </w:r>
      <w:r w:rsidR="00D51F5E">
        <w:t>)</w:t>
      </w:r>
      <w:r w:rsidR="001A53DE">
        <w:t>.</w:t>
      </w:r>
      <w:r w:rsidRPr="0023169E">
        <w:t xml:space="preserve"> Our methodology ensures that independent testing delivers immediate value by validating functionality, preventing regression, and confirming that enhancements meet operational and legislative requirements.</w:t>
      </w:r>
    </w:p>
    <w:p w14:paraId="2AC3F802" w14:textId="42693D33" w:rsidR="00D83DEA" w:rsidRPr="00F87DDF" w:rsidRDefault="00AA1A32" w:rsidP="003B17E4">
      <w:pPr>
        <w:pStyle w:val="CS-IBMResponseText"/>
      </w:pPr>
      <w:r>
        <w:rPr>
          <w:b/>
          <w:bCs/>
        </w:rPr>
        <w:t>The r</w:t>
      </w:r>
      <w:r w:rsidR="003B17E4" w:rsidRPr="007C309E">
        <w:rPr>
          <w:b/>
          <w:bCs/>
        </w:rPr>
        <w:t>esult</w:t>
      </w:r>
      <w:r w:rsidRPr="00AA1A32">
        <w:rPr>
          <w:b/>
          <w:bCs/>
        </w:rPr>
        <w:t>s</w:t>
      </w:r>
      <w:r>
        <w:t xml:space="preserve"> are </w:t>
      </w:r>
      <w:r w:rsidR="003B17E4" w:rsidRPr="008273E9">
        <w:rPr>
          <w:bCs/>
        </w:rPr>
        <w:t>IBM delivers an independent testing foundation that combines governance discipline with collaborative integration and AI-enabled optimization</w:t>
      </w:r>
      <w:r w:rsidR="097D5137" w:rsidRPr="008273E9">
        <w:rPr>
          <w:bCs/>
        </w:rPr>
        <w:t xml:space="preserve"> </w:t>
      </w:r>
      <w:r w:rsidR="003B17E4" w:rsidRPr="008273E9">
        <w:rPr>
          <w:bCs/>
        </w:rPr>
        <w:t>providing CalSAWS with measurable quality gains and accelerated readiness.</w:t>
      </w:r>
    </w:p>
    <w:p w14:paraId="0A6DA7FD" w14:textId="4C8B2FDD" w:rsidR="003B17E4" w:rsidRPr="007B43A8" w:rsidRDefault="00F87DDF" w:rsidP="003B17E4">
      <w:pPr>
        <w:pStyle w:val="CS-IBMResponseText"/>
        <w:rPr>
          <w:i/>
          <w:iCs/>
        </w:rPr>
      </w:pPr>
      <w:r>
        <w:rPr>
          <w:color w:val="0070C0"/>
          <w:sz w:val="28"/>
          <w:szCs w:val="28"/>
        </w:rPr>
        <w:t>Our u</w:t>
      </w:r>
      <w:r w:rsidR="003B17E4" w:rsidRPr="00DD637A">
        <w:rPr>
          <w:color w:val="0070C0"/>
          <w:sz w:val="28"/>
          <w:szCs w:val="28"/>
        </w:rPr>
        <w:t>nderstanding of the Consortium’s QA Vision</w:t>
      </w:r>
      <w:r w:rsidR="003B17E4" w:rsidRPr="0023169E">
        <w:t xml:space="preserve"> </w:t>
      </w:r>
      <w:r w:rsidR="2CD783AB">
        <w:t xml:space="preserve"> </w:t>
      </w:r>
    </w:p>
    <w:p w14:paraId="2BD23B6D" w14:textId="2B2D8F73" w:rsidR="003B17E4" w:rsidRPr="0023169E" w:rsidRDefault="003B17E4" w:rsidP="003B17E4">
      <w:pPr>
        <w:pStyle w:val="CS-IBMResponseText"/>
      </w:pPr>
      <w:r w:rsidRPr="0023169E">
        <w:t>The Consortium’s expectations for Independent QA extend beyond verifying test results. The QA vendor must:</w:t>
      </w:r>
    </w:p>
    <w:p w14:paraId="3B3E8603" w14:textId="77777777" w:rsidR="003B17E4" w:rsidRPr="0023169E" w:rsidRDefault="003B17E4" w:rsidP="003B17E4">
      <w:pPr>
        <w:pStyle w:val="CS-IBMBullet1"/>
      </w:pPr>
      <w:r w:rsidRPr="0023169E">
        <w:t>Operate impartially but collaboratively within the</w:t>
      </w:r>
      <w:r w:rsidRPr="005508FE">
        <w:rPr>
          <w:b/>
          <w:bCs/>
        </w:rPr>
        <w:t xml:space="preserve"> One Team</w:t>
      </w:r>
      <w:r w:rsidRPr="0023169E">
        <w:t xml:space="preserve"> model.</w:t>
      </w:r>
    </w:p>
    <w:p w14:paraId="68A7EA84" w14:textId="77777777" w:rsidR="003B17E4" w:rsidRPr="0023169E" w:rsidRDefault="003B17E4" w:rsidP="003B17E4">
      <w:pPr>
        <w:pStyle w:val="CS-IBMBullet1"/>
      </w:pPr>
      <w:r w:rsidRPr="0023169E">
        <w:t>Align with CalSAWS governance structures, OWDs, and deliverable processes.</w:t>
      </w:r>
    </w:p>
    <w:p w14:paraId="0CDCCA75" w14:textId="77777777" w:rsidR="003B17E4" w:rsidRPr="0023169E" w:rsidRDefault="003B17E4" w:rsidP="003B17E4">
      <w:pPr>
        <w:pStyle w:val="CS-IBMBullet1"/>
      </w:pPr>
      <w:r w:rsidRPr="0023169E">
        <w:t>Establish reusable, scalable independent test assets that complement—not duplicate—other vendors’ testing.</w:t>
      </w:r>
    </w:p>
    <w:p w14:paraId="0D4FB1B0" w14:textId="77777777" w:rsidR="003B17E4" w:rsidRPr="0023169E" w:rsidRDefault="003B17E4" w:rsidP="003B17E4">
      <w:pPr>
        <w:pStyle w:val="CS-IBMBullet1"/>
      </w:pPr>
      <w:r w:rsidRPr="0023169E">
        <w:t>Integrate with policy, counties, and infrastructure to ensure full end-to-end coverage.</w:t>
      </w:r>
    </w:p>
    <w:p w14:paraId="456075D8" w14:textId="77777777" w:rsidR="003B17E4" w:rsidRPr="0023169E" w:rsidRDefault="003B17E4" w:rsidP="003B17E4">
      <w:pPr>
        <w:pStyle w:val="CS-IBMBullet1"/>
      </w:pPr>
      <w:r w:rsidRPr="0023169E">
        <w:t>Provide transparency through metrics, dashboards, and data-driven insights.</w:t>
      </w:r>
    </w:p>
    <w:p w14:paraId="2095AF32" w14:textId="77777777" w:rsidR="003B17E4" w:rsidRPr="0023169E" w:rsidRDefault="003B17E4" w:rsidP="003B17E4">
      <w:pPr>
        <w:pStyle w:val="CS-IBMBullet1"/>
      </w:pPr>
      <w:r w:rsidRPr="0023169E">
        <w:t>Continuously optimize test scope, data, and automation to reduce effort while improving outcomes.</w:t>
      </w:r>
    </w:p>
    <w:p w14:paraId="296ECED5" w14:textId="22A4864D" w:rsidR="003B17E4" w:rsidRPr="0023169E" w:rsidRDefault="003B17E4" w:rsidP="003B17E4">
      <w:pPr>
        <w:pStyle w:val="CS-IBMResponseText"/>
      </w:pPr>
      <w:r w:rsidRPr="0023169E">
        <w:t>IBM already understands CalSAWS’ operational structure, OWDs, and governance frameworks due to our deep experience across CalWIN and CalSAWS initiatives. This allows us to align immediately with existing processes while scaling to support modernization.</w:t>
      </w:r>
    </w:p>
    <w:p w14:paraId="3A70C335" w14:textId="32112F40" w:rsidR="00ED1402" w:rsidRPr="00FC63A4" w:rsidRDefault="003B17E4" w:rsidP="003B17E4">
      <w:pPr>
        <w:pStyle w:val="CS-IBMResponseText"/>
      </w:pPr>
      <w:r w:rsidRPr="0023169E">
        <w:t>IBM also recognizes the critical role of vendor ecosystem collaboration in defining testing boundaries, establishing independence without isolation, and sharing quality accountability across the Consortium.</w:t>
      </w:r>
    </w:p>
    <w:p w14:paraId="672EA5BA" w14:textId="29787BA9" w:rsidR="00FC63A4" w:rsidRPr="00FC63A4" w:rsidRDefault="00FC63A4" w:rsidP="003B17E4">
      <w:pPr>
        <w:pStyle w:val="CS-IBMResponseText"/>
        <w:rPr>
          <w:b/>
          <w:bCs/>
        </w:rPr>
      </w:pPr>
      <w:r w:rsidRPr="00FC63A4">
        <w:rPr>
          <w:b/>
          <w:bCs/>
        </w:rPr>
        <w:t>IBM’s response is designed to realize this vision from the outset</w:t>
      </w:r>
      <w:r>
        <w:rPr>
          <w:b/>
          <w:bCs/>
        </w:rPr>
        <w:t xml:space="preserve">, </w:t>
      </w:r>
      <w:r w:rsidRPr="00FC63A4">
        <w:rPr>
          <w:b/>
          <w:bCs/>
        </w:rPr>
        <w:t>where test cases, test data, metrics, and governance collectively reinforce proactive quality engineering and cross-vendor transparency. The following section outlines IBM’s independent yet collaborative approach to establishing the initial set of independent test cases and requisite test data.</w:t>
      </w:r>
    </w:p>
    <w:p w14:paraId="32ADCE61" w14:textId="22404892" w:rsidR="003B17E4" w:rsidRPr="005A52FE" w:rsidRDefault="003B17E4" w:rsidP="003B17E4">
      <w:pPr>
        <w:pStyle w:val="CS-IBMResponseText"/>
        <w:rPr>
          <w:i/>
          <w:iCs/>
        </w:rPr>
      </w:pPr>
      <w:r w:rsidRPr="00DD637A">
        <w:rPr>
          <w:color w:val="0070C0"/>
          <w:sz w:val="28"/>
          <w:szCs w:val="28"/>
        </w:rPr>
        <w:t>Governance Foundation and Deliverables Context</w:t>
      </w:r>
      <w:r w:rsidRPr="005A52FE">
        <w:rPr>
          <w:b/>
          <w:bCs/>
          <w:color w:val="0070C0"/>
        </w:rPr>
        <w:t xml:space="preserve"> </w:t>
      </w:r>
    </w:p>
    <w:p w14:paraId="50D33EC5" w14:textId="77777777" w:rsidR="003B17E4" w:rsidRPr="0023169E" w:rsidRDefault="003B17E4" w:rsidP="003B17E4">
      <w:pPr>
        <w:pStyle w:val="CS-IBMResponseText"/>
      </w:pPr>
      <w:r w:rsidRPr="0023169E">
        <w:t>Independent testing operates within the Consortium’s established QA governance framework, supported by a defined set of QA deliverables that ensure transparency, coordination, and accountability. IBM will develop and maintain these deliverables to provide traceable, measurable, and reviewable evidence of testing quality and progress:</w:t>
      </w:r>
    </w:p>
    <w:p w14:paraId="0071295B" w14:textId="77777777" w:rsidR="005E0E78" w:rsidRDefault="005E0E78" w:rsidP="003B17E4">
      <w:pPr>
        <w:pStyle w:val="CS-IBMResponseText"/>
      </w:pPr>
    </w:p>
    <w:p w14:paraId="3A8C90EB" w14:textId="77777777" w:rsidR="00F87DDF" w:rsidRDefault="00F87DDF" w:rsidP="003B17E4">
      <w:pPr>
        <w:pStyle w:val="CS-IBMResponseText"/>
      </w:pPr>
    </w:p>
    <w:p w14:paraId="4A120511" w14:textId="77777777" w:rsidR="00F87DDF" w:rsidRDefault="00F87DDF" w:rsidP="003B17E4">
      <w:pPr>
        <w:pStyle w:val="CS-IBMResponseText"/>
      </w:pPr>
    </w:p>
    <w:p w14:paraId="3F5364BF" w14:textId="77777777" w:rsidR="00DB4DB5" w:rsidRPr="0023169E" w:rsidRDefault="00DB4DB5" w:rsidP="003B17E4">
      <w:pPr>
        <w:pStyle w:val="CS-IBMResponseText"/>
      </w:pPr>
    </w:p>
    <w:p w14:paraId="620A0C4F" w14:textId="41AA5D79" w:rsidR="001961FE" w:rsidRDefault="001961FE" w:rsidP="001961FE">
      <w:pPr>
        <w:pStyle w:val="Caption"/>
        <w:keepNext/>
        <w:jc w:val="center"/>
      </w:pPr>
      <w:bookmarkStart w:id="74" w:name="_Toc213069575"/>
      <w:r>
        <w:lastRenderedPageBreak/>
        <w:t xml:space="preserve">Table 4.4.1. </w:t>
      </w:r>
      <w:r>
        <w:fldChar w:fldCharType="begin"/>
      </w:r>
      <w:r>
        <w:instrText xml:space="preserve"> SEQ Table_4.4.1. \* ARABIC </w:instrText>
      </w:r>
      <w:r>
        <w:fldChar w:fldCharType="separate"/>
      </w:r>
      <w:r w:rsidR="00C04C72">
        <w:rPr>
          <w:noProof/>
        </w:rPr>
        <w:t>1</w:t>
      </w:r>
      <w:r>
        <w:fldChar w:fldCharType="end"/>
      </w:r>
      <w:r>
        <w:t xml:space="preserve"> Continued Consortium QA Deliverables</w:t>
      </w:r>
      <w:bookmarkEnd w:id="74"/>
    </w:p>
    <w:tbl>
      <w:tblPr>
        <w:tblStyle w:val="TableGrid"/>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08"/>
        <w:gridCol w:w="1941"/>
        <w:gridCol w:w="6096"/>
      </w:tblGrid>
      <w:tr w:rsidR="00A9014A" w:rsidRPr="0023169E" w14:paraId="2CC65969" w14:textId="77777777" w:rsidTr="00E30C95">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0070C0"/>
            <w:hideMark/>
          </w:tcPr>
          <w:p w14:paraId="73A39144" w14:textId="77777777" w:rsidR="003B17E4" w:rsidRPr="0023169E" w:rsidRDefault="003B17E4" w:rsidP="00E30C95">
            <w:pPr>
              <w:pStyle w:val="CS-IBMTableColumnHeader"/>
              <w:jc w:val="left"/>
            </w:pPr>
            <w:r w:rsidRPr="0023169E">
              <w:t>Deliverable ID</w:t>
            </w:r>
          </w:p>
        </w:tc>
        <w:tc>
          <w:tcPr>
            <w:tcW w:w="0" w:type="auto"/>
            <w:shd w:val="clear" w:color="auto" w:fill="0070C0"/>
            <w:hideMark/>
          </w:tcPr>
          <w:p w14:paraId="6508C866" w14:textId="77777777" w:rsidR="003B17E4" w:rsidRPr="0023169E" w:rsidRDefault="003B17E4" w:rsidP="00E30C95">
            <w:pPr>
              <w:pStyle w:val="CS-IBMTableColumnHeader"/>
              <w:jc w:val="left"/>
            </w:pPr>
            <w:r w:rsidRPr="0023169E">
              <w:t>Title</w:t>
            </w:r>
          </w:p>
        </w:tc>
        <w:tc>
          <w:tcPr>
            <w:tcW w:w="0" w:type="auto"/>
            <w:shd w:val="clear" w:color="auto" w:fill="0070C0"/>
            <w:hideMark/>
          </w:tcPr>
          <w:p w14:paraId="1CFCE412" w14:textId="77777777" w:rsidR="003B17E4" w:rsidRPr="0023169E" w:rsidRDefault="003B17E4" w:rsidP="00E30C95">
            <w:pPr>
              <w:pStyle w:val="CS-IBMTableColumnHeader"/>
              <w:jc w:val="left"/>
            </w:pPr>
            <w:r w:rsidRPr="0023169E">
              <w:t>Purpose</w:t>
            </w:r>
          </w:p>
        </w:tc>
      </w:tr>
      <w:tr w:rsidR="00A740E3" w:rsidRPr="0023169E" w14:paraId="6B41C792" w14:textId="77777777" w:rsidTr="00E30C95">
        <w:tc>
          <w:tcPr>
            <w:tcW w:w="0" w:type="auto"/>
            <w:shd w:val="clear" w:color="auto" w:fill="FFFFFF" w:themeFill="background1"/>
            <w:hideMark/>
          </w:tcPr>
          <w:p w14:paraId="5060E6F0" w14:textId="77777777" w:rsidR="003B17E4" w:rsidRPr="007D784C" w:rsidRDefault="003B17E4" w:rsidP="001D58E7">
            <w:pPr>
              <w:pStyle w:val="CS-IBMTableText"/>
              <w:rPr>
                <w:b/>
                <w:bCs/>
              </w:rPr>
            </w:pPr>
            <w:r w:rsidRPr="007D784C">
              <w:rPr>
                <w:b/>
                <w:bCs/>
              </w:rPr>
              <w:t>D-QA-01</w:t>
            </w:r>
          </w:p>
        </w:tc>
        <w:tc>
          <w:tcPr>
            <w:tcW w:w="0" w:type="auto"/>
            <w:shd w:val="clear" w:color="auto" w:fill="FFFFFF" w:themeFill="background1"/>
            <w:hideMark/>
          </w:tcPr>
          <w:p w14:paraId="30885E34" w14:textId="77777777" w:rsidR="003B17E4" w:rsidRPr="0023169E" w:rsidRDefault="003B17E4" w:rsidP="001D58E7">
            <w:pPr>
              <w:pStyle w:val="CS-IBMTableText"/>
            </w:pPr>
            <w:r w:rsidRPr="0023169E">
              <w:t>Quality Assurance Plan</w:t>
            </w:r>
          </w:p>
        </w:tc>
        <w:tc>
          <w:tcPr>
            <w:tcW w:w="0" w:type="auto"/>
            <w:shd w:val="clear" w:color="auto" w:fill="FFFFFF" w:themeFill="background1"/>
            <w:hideMark/>
          </w:tcPr>
          <w:p w14:paraId="7A92C2A2" w14:textId="77777777" w:rsidR="003B17E4" w:rsidRPr="0023169E" w:rsidRDefault="003B17E4" w:rsidP="001D58E7">
            <w:pPr>
              <w:pStyle w:val="CS-IBMTableText"/>
            </w:pPr>
            <w:r w:rsidRPr="0023169E">
              <w:t>Defines objectives, roles, governance structure, and processes for Independent Testing, including how tests are planned, executed, and validated across vendors.</w:t>
            </w:r>
          </w:p>
        </w:tc>
      </w:tr>
      <w:tr w:rsidR="00A740E3" w:rsidRPr="0023169E" w14:paraId="53F7C887" w14:textId="77777777" w:rsidTr="00E30C95">
        <w:tc>
          <w:tcPr>
            <w:tcW w:w="0" w:type="auto"/>
            <w:shd w:val="clear" w:color="auto" w:fill="FFFFFF" w:themeFill="background1"/>
            <w:hideMark/>
          </w:tcPr>
          <w:p w14:paraId="55921CA8" w14:textId="77777777" w:rsidR="003B17E4" w:rsidRPr="007D784C" w:rsidRDefault="003B17E4" w:rsidP="001D58E7">
            <w:pPr>
              <w:pStyle w:val="CS-IBMTableText"/>
              <w:rPr>
                <w:b/>
                <w:bCs/>
              </w:rPr>
            </w:pPr>
            <w:r w:rsidRPr="007D784C">
              <w:rPr>
                <w:b/>
                <w:bCs/>
              </w:rPr>
              <w:t>D-QA-02</w:t>
            </w:r>
          </w:p>
        </w:tc>
        <w:tc>
          <w:tcPr>
            <w:tcW w:w="0" w:type="auto"/>
            <w:shd w:val="clear" w:color="auto" w:fill="FFFFFF" w:themeFill="background1"/>
            <w:hideMark/>
          </w:tcPr>
          <w:p w14:paraId="6162332B" w14:textId="77777777" w:rsidR="003B17E4" w:rsidRPr="0023169E" w:rsidRDefault="003B17E4" w:rsidP="001D58E7">
            <w:pPr>
              <w:pStyle w:val="CS-IBMTableText"/>
            </w:pPr>
            <w:r w:rsidRPr="0023169E">
              <w:t>QA Schedule</w:t>
            </w:r>
          </w:p>
        </w:tc>
        <w:tc>
          <w:tcPr>
            <w:tcW w:w="0" w:type="auto"/>
            <w:shd w:val="clear" w:color="auto" w:fill="FFFFFF" w:themeFill="background1"/>
            <w:hideMark/>
          </w:tcPr>
          <w:p w14:paraId="0F51E62B" w14:textId="442A251B" w:rsidR="003B17E4" w:rsidRPr="0023169E" w:rsidRDefault="003B17E4" w:rsidP="001D58E7">
            <w:pPr>
              <w:pStyle w:val="CS-IBMTableText"/>
            </w:pPr>
            <w:r w:rsidRPr="0023169E">
              <w:t xml:space="preserve">Establishes QA milestones and synchronization points with </w:t>
            </w:r>
            <w:r w:rsidR="00D51F5E">
              <w:t>the incumbent CalSAWS vendors’</w:t>
            </w:r>
            <w:r w:rsidRPr="0023169E">
              <w:t xml:space="preserve"> release activities.</w:t>
            </w:r>
          </w:p>
        </w:tc>
      </w:tr>
      <w:tr w:rsidR="00A740E3" w:rsidRPr="0023169E" w14:paraId="05ED30CB" w14:textId="77777777" w:rsidTr="00E30C95">
        <w:tc>
          <w:tcPr>
            <w:tcW w:w="0" w:type="auto"/>
            <w:shd w:val="clear" w:color="auto" w:fill="FFFFFF" w:themeFill="background1"/>
            <w:hideMark/>
          </w:tcPr>
          <w:p w14:paraId="63D4B2C4" w14:textId="77777777" w:rsidR="003B17E4" w:rsidRPr="007D784C" w:rsidRDefault="003B17E4" w:rsidP="001D58E7">
            <w:pPr>
              <w:pStyle w:val="CS-IBMTableText"/>
              <w:rPr>
                <w:b/>
                <w:bCs/>
              </w:rPr>
            </w:pPr>
            <w:r w:rsidRPr="007D784C">
              <w:rPr>
                <w:b/>
                <w:bCs/>
              </w:rPr>
              <w:t>D-QA-03</w:t>
            </w:r>
          </w:p>
        </w:tc>
        <w:tc>
          <w:tcPr>
            <w:tcW w:w="0" w:type="auto"/>
            <w:shd w:val="clear" w:color="auto" w:fill="FFFFFF" w:themeFill="background1"/>
            <w:hideMark/>
          </w:tcPr>
          <w:p w14:paraId="71DAED3B" w14:textId="77777777" w:rsidR="003B17E4" w:rsidRPr="0023169E" w:rsidRDefault="003B17E4" w:rsidP="001D58E7">
            <w:pPr>
              <w:pStyle w:val="CS-IBMTableText"/>
            </w:pPr>
            <w:r w:rsidRPr="0023169E">
              <w:t>QA Status Reports</w:t>
            </w:r>
          </w:p>
        </w:tc>
        <w:tc>
          <w:tcPr>
            <w:tcW w:w="0" w:type="auto"/>
            <w:shd w:val="clear" w:color="auto" w:fill="FFFFFF" w:themeFill="background1"/>
            <w:hideMark/>
          </w:tcPr>
          <w:p w14:paraId="76CBDD14" w14:textId="77777777" w:rsidR="003B17E4" w:rsidRPr="0023169E" w:rsidRDefault="003B17E4" w:rsidP="001D58E7">
            <w:pPr>
              <w:pStyle w:val="CS-IBMTableText"/>
            </w:pPr>
            <w:r w:rsidRPr="0023169E">
              <w:t>Communicates testing results, risks, and readiness assessments to the Consortium and vendor teams.</w:t>
            </w:r>
          </w:p>
        </w:tc>
      </w:tr>
      <w:tr w:rsidR="00A740E3" w:rsidRPr="0023169E" w14:paraId="4EFCF815" w14:textId="77777777" w:rsidTr="00E30C95">
        <w:tc>
          <w:tcPr>
            <w:tcW w:w="0" w:type="auto"/>
            <w:shd w:val="clear" w:color="auto" w:fill="FFFFFF" w:themeFill="background1"/>
            <w:hideMark/>
          </w:tcPr>
          <w:p w14:paraId="77759E34" w14:textId="77777777" w:rsidR="003B17E4" w:rsidRPr="007D784C" w:rsidRDefault="003B17E4" w:rsidP="001D58E7">
            <w:pPr>
              <w:pStyle w:val="CS-IBMTableText"/>
              <w:rPr>
                <w:b/>
                <w:bCs/>
              </w:rPr>
            </w:pPr>
            <w:r w:rsidRPr="007D784C">
              <w:rPr>
                <w:b/>
                <w:bCs/>
              </w:rPr>
              <w:t>D-QA-04</w:t>
            </w:r>
          </w:p>
        </w:tc>
        <w:tc>
          <w:tcPr>
            <w:tcW w:w="0" w:type="auto"/>
            <w:shd w:val="clear" w:color="auto" w:fill="FFFFFF" w:themeFill="background1"/>
            <w:hideMark/>
          </w:tcPr>
          <w:p w14:paraId="76433583" w14:textId="77777777" w:rsidR="003B17E4" w:rsidRPr="0023169E" w:rsidRDefault="003B17E4" w:rsidP="001D58E7">
            <w:pPr>
              <w:pStyle w:val="CS-IBMTableText"/>
            </w:pPr>
            <w:r w:rsidRPr="0023169E">
              <w:t>QA Metrics and Dashboard Reports</w:t>
            </w:r>
          </w:p>
        </w:tc>
        <w:tc>
          <w:tcPr>
            <w:tcW w:w="0" w:type="auto"/>
            <w:shd w:val="clear" w:color="auto" w:fill="FFFFFF" w:themeFill="background1"/>
            <w:hideMark/>
          </w:tcPr>
          <w:p w14:paraId="0B68CFEA" w14:textId="77777777" w:rsidR="003B17E4" w:rsidRPr="0023169E" w:rsidRDefault="003B17E4" w:rsidP="001D58E7">
            <w:pPr>
              <w:pStyle w:val="CS-IBMTableText"/>
            </w:pPr>
            <w:r w:rsidRPr="0023169E">
              <w:t>Presents real-time test coverage, defect, and trend metrics that demonstrate measurable quality improvement.</w:t>
            </w:r>
          </w:p>
        </w:tc>
      </w:tr>
    </w:tbl>
    <w:p w14:paraId="5A4840BA" w14:textId="77777777" w:rsidR="009D55C9" w:rsidRPr="003A5944" w:rsidRDefault="009D55C9" w:rsidP="003B17E4">
      <w:pPr>
        <w:pStyle w:val="CS-IBMResponseText"/>
        <w:rPr>
          <w:i/>
          <w:iCs/>
        </w:rPr>
      </w:pPr>
    </w:p>
    <w:p w14:paraId="20E0B85C" w14:textId="77777777" w:rsidR="003B17E4" w:rsidRPr="0023169E" w:rsidRDefault="003B17E4" w:rsidP="003B17E4">
      <w:pPr>
        <w:pStyle w:val="CS-IBMResponseText"/>
      </w:pPr>
      <w:r w:rsidRPr="0023169E">
        <w:t>Each of these deliverables will be reviewed and approved through the Consortium’s governance process, ensuring alignment with CalSAWS standards and providing auditable insight into Independent Testing outcomes. These deliverables also ensure full traceability of test planning, test execution, and test results to CalSAWS requirements and business outcomes.</w:t>
      </w:r>
    </w:p>
    <w:p w14:paraId="680D72A4" w14:textId="5E97F0DD" w:rsidR="003B17E4" w:rsidRPr="007575FF" w:rsidRDefault="003B17E4" w:rsidP="003B17E4">
      <w:pPr>
        <w:pStyle w:val="CS-IBMResponseText"/>
        <w:rPr>
          <w:i/>
          <w:iCs/>
        </w:rPr>
      </w:pPr>
      <w:r w:rsidRPr="007575FF">
        <w:rPr>
          <w:b/>
          <w:bCs/>
        </w:rPr>
        <w:t xml:space="preserve">Deliverable Management and Approval Process </w:t>
      </w:r>
    </w:p>
    <w:p w14:paraId="66F3F9E2" w14:textId="77777777" w:rsidR="003B17E4" w:rsidRPr="0023169E" w:rsidRDefault="003B17E4" w:rsidP="008F51B3">
      <w:pPr>
        <w:pStyle w:val="CS-IBMResponseText"/>
      </w:pPr>
      <w:r w:rsidRPr="0023169E">
        <w:t>All QA deliverables will be developed and maintained in accordance with the Consortium’s Deliverable Management and Approval Process, which requires the preparation and approval of a Deliverable Expectation Document (DED) prior to submission of the corresponding Deliverable (DEL). The DED defines:</w:t>
      </w:r>
    </w:p>
    <w:p w14:paraId="38C63A0E" w14:textId="77777777" w:rsidR="003B17E4" w:rsidRPr="0023169E" w:rsidRDefault="003B17E4" w:rsidP="008F51B3">
      <w:pPr>
        <w:pStyle w:val="CS-IBMBullet1"/>
      </w:pPr>
      <w:r w:rsidRPr="0023169E">
        <w:t>Content and format</w:t>
      </w:r>
    </w:p>
    <w:p w14:paraId="27ADF498" w14:textId="77777777" w:rsidR="003B17E4" w:rsidRPr="0023169E" w:rsidRDefault="003B17E4" w:rsidP="008F51B3">
      <w:pPr>
        <w:pStyle w:val="CS-IBMBullet1"/>
      </w:pPr>
      <w:r w:rsidRPr="0023169E">
        <w:t>Frequency of submission</w:t>
      </w:r>
    </w:p>
    <w:p w14:paraId="578D25F6" w14:textId="77777777" w:rsidR="003B17E4" w:rsidRPr="0023169E" w:rsidRDefault="003B17E4" w:rsidP="008F51B3">
      <w:pPr>
        <w:pStyle w:val="CS-IBMBullet1"/>
      </w:pPr>
      <w:r w:rsidRPr="0023169E">
        <w:t>Acceptance criteria</w:t>
      </w:r>
    </w:p>
    <w:p w14:paraId="5CF637CA" w14:textId="77777777" w:rsidR="003B17E4" w:rsidRPr="0023169E" w:rsidRDefault="003B17E4" w:rsidP="008F51B3">
      <w:pPr>
        <w:pStyle w:val="CS-IBMBullet1"/>
      </w:pPr>
      <w:r w:rsidRPr="0023169E">
        <w:t>Approval workflow</w:t>
      </w:r>
    </w:p>
    <w:p w14:paraId="6CC73006" w14:textId="61EABD0F" w:rsidR="003B17E4" w:rsidRPr="0023169E" w:rsidRDefault="003B17E4" w:rsidP="008F51B3">
      <w:pPr>
        <w:pStyle w:val="CS-IBMResponseText"/>
      </w:pPr>
      <w:r w:rsidRPr="0023169E">
        <w:t>IBM will conduct internal QA reviews of all deliverables</w:t>
      </w:r>
      <w:r w:rsidR="008F51B3">
        <w:t xml:space="preserve"> – </w:t>
      </w:r>
      <w:r w:rsidRPr="0023169E">
        <w:t>including recurring deliverables such as QA Status Reports and QA Metrics—to ensure every submission meets DED-defined quality standards before delivery to the Consortium.</w:t>
      </w:r>
    </w:p>
    <w:p w14:paraId="308A48BF" w14:textId="77777777" w:rsidR="003B17E4" w:rsidRPr="0023169E" w:rsidRDefault="003B17E4" w:rsidP="008F51B3">
      <w:pPr>
        <w:pStyle w:val="CS-IBMResponseText"/>
      </w:pPr>
      <w:r w:rsidRPr="0023169E">
        <w:t>All deliverables will be maintained under configuration control and version management within the Consortium’s governance framework, ensuring traceability, transparency, and alignment with the CalSAWS operational model.</w:t>
      </w:r>
    </w:p>
    <w:p w14:paraId="441596E3" w14:textId="241A89AA" w:rsidR="003B17E4" w:rsidRPr="00C65684" w:rsidRDefault="003B17E4" w:rsidP="003B17E4">
      <w:pPr>
        <w:pStyle w:val="CS-IBMResponseText"/>
        <w:rPr>
          <w:i/>
          <w:iCs/>
        </w:rPr>
      </w:pPr>
      <w:r w:rsidRPr="007C4B61">
        <w:rPr>
          <w:b/>
          <w:bCs/>
        </w:rPr>
        <w:t>Transition and Baseline Assessment</w:t>
      </w:r>
      <w:r w:rsidRPr="0023169E">
        <w:t xml:space="preserve"> </w:t>
      </w:r>
    </w:p>
    <w:p w14:paraId="0B4A5198" w14:textId="77777777" w:rsidR="003B17E4" w:rsidRPr="0023169E" w:rsidRDefault="003B17E4" w:rsidP="003B17E4">
      <w:pPr>
        <w:pStyle w:val="CS-IBMResponseText"/>
      </w:pPr>
      <w:r w:rsidRPr="0023169E">
        <w:t>IBM begins establishing the initial baseline of independent test cases and test data during Transition-In to accelerate value delivery and ensure alignment with CalSAWS’ existing assets, tools, and priorities.</w:t>
      </w:r>
    </w:p>
    <w:p w14:paraId="3D28E080" w14:textId="431DED92" w:rsidR="003B17E4" w:rsidRDefault="003B17E4" w:rsidP="003B17E4">
      <w:pPr>
        <w:pStyle w:val="CS-IBMResponseText"/>
        <w:keepNext/>
      </w:pPr>
      <w:r w:rsidRPr="00C65684">
        <w:rPr>
          <w:b/>
          <w:bCs/>
        </w:rPr>
        <w:lastRenderedPageBreak/>
        <w:t>Inventory and Assessment of Existing Test Assets</w:t>
      </w:r>
      <w:r w:rsidRPr="00C65684">
        <w:rPr>
          <w:b/>
          <w:bCs/>
          <w:i/>
          <w:iCs/>
        </w:rPr>
        <w:t xml:space="preserve"> </w:t>
      </w:r>
    </w:p>
    <w:p w14:paraId="643975C0" w14:textId="3A0E7681" w:rsidR="003B17E4" w:rsidRPr="0023169E" w:rsidRDefault="003B17E4" w:rsidP="003B17E4">
      <w:pPr>
        <w:pStyle w:val="CS-IBMResponseText"/>
      </w:pPr>
      <w:r w:rsidRPr="0023169E">
        <w:t>IBM will conduct a comprehensive assessment of all inherited test assets from the current QA vendor (ClearBest) and other contractors</w:t>
      </w:r>
      <w:r w:rsidR="007F7A34">
        <w:t>. This includes</w:t>
      </w:r>
      <w:r w:rsidRPr="0023169E">
        <w:t>:</w:t>
      </w:r>
    </w:p>
    <w:p w14:paraId="0B672C22" w14:textId="77777777" w:rsidR="003B17E4" w:rsidRPr="0023169E" w:rsidRDefault="003B17E4" w:rsidP="003B17E4">
      <w:pPr>
        <w:pStyle w:val="CS-IBMBullet1"/>
      </w:pPr>
      <w:r w:rsidRPr="0023169E">
        <w:t>Manual and automated test cases</w:t>
      </w:r>
    </w:p>
    <w:p w14:paraId="1014BE9D" w14:textId="77777777" w:rsidR="003B17E4" w:rsidRPr="0023169E" w:rsidRDefault="003B17E4" w:rsidP="003B17E4">
      <w:pPr>
        <w:pStyle w:val="CS-IBMBullet1"/>
      </w:pPr>
      <w:r w:rsidRPr="0023169E">
        <w:t>Test data sets and scripts</w:t>
      </w:r>
    </w:p>
    <w:p w14:paraId="06E15199" w14:textId="77777777" w:rsidR="003B17E4" w:rsidRPr="0023169E" w:rsidRDefault="003B17E4" w:rsidP="003B17E4">
      <w:pPr>
        <w:pStyle w:val="CS-IBMBullet1"/>
      </w:pPr>
      <w:r w:rsidRPr="0023169E">
        <w:t>Regression suites (functional, batch, API, accessibility)</w:t>
      </w:r>
    </w:p>
    <w:p w14:paraId="0D0415C7" w14:textId="77777777" w:rsidR="003B17E4" w:rsidRPr="0023169E" w:rsidRDefault="003B17E4" w:rsidP="003B17E4">
      <w:pPr>
        <w:pStyle w:val="CS-IBMBullet1"/>
      </w:pPr>
      <w:r w:rsidRPr="0023169E">
        <w:t>Existing automation frameworks (e.g., Selenium, Toad, JIRA JTM)</w:t>
      </w:r>
    </w:p>
    <w:p w14:paraId="70C439CC" w14:textId="77777777" w:rsidR="003B17E4" w:rsidRPr="0023169E" w:rsidRDefault="003B17E4" w:rsidP="003B17E4">
      <w:pPr>
        <w:pStyle w:val="CS-IBMBullet1"/>
      </w:pPr>
      <w:r w:rsidRPr="0023169E">
        <w:t>Historical test results and defect trends</w:t>
      </w:r>
    </w:p>
    <w:p w14:paraId="32EA4464" w14:textId="77777777" w:rsidR="003B17E4" w:rsidRPr="0023169E" w:rsidRDefault="003B17E4" w:rsidP="003B17E4">
      <w:pPr>
        <w:pStyle w:val="CS-IBMResponseText"/>
      </w:pPr>
      <w:r w:rsidRPr="0023169E">
        <w:t>This assessment identifies reusable assets, gaps, redundancy, and high-risk areas that need priority coverage.</w:t>
      </w:r>
    </w:p>
    <w:p w14:paraId="604E7EC7" w14:textId="7A7B6495" w:rsidR="003B17E4" w:rsidRDefault="003B17E4" w:rsidP="003B17E4">
      <w:pPr>
        <w:pStyle w:val="CS-IBMResponseText"/>
      </w:pPr>
      <w:r w:rsidRPr="004B78F3">
        <w:rPr>
          <w:b/>
          <w:bCs/>
        </w:rPr>
        <w:t>Test Asset Rationalization Workshop (TARW)</w:t>
      </w:r>
      <w:r w:rsidRPr="0023169E">
        <w:t xml:space="preserve"> </w:t>
      </w:r>
    </w:p>
    <w:p w14:paraId="3E6278F3" w14:textId="5CF84F7E" w:rsidR="003B17E4" w:rsidRPr="0023169E" w:rsidRDefault="003B17E4" w:rsidP="003B17E4">
      <w:pPr>
        <w:pStyle w:val="CS-IBMResponseText"/>
      </w:pPr>
      <w:r w:rsidRPr="0023169E">
        <w:t xml:space="preserve">IBM </w:t>
      </w:r>
      <w:r w:rsidR="00442D02">
        <w:t xml:space="preserve">plans to </w:t>
      </w:r>
      <w:r w:rsidRPr="0023169E">
        <w:t xml:space="preserve">lead a collaborative workshop with </w:t>
      </w:r>
      <w:r w:rsidR="00E00DC2">
        <w:t xml:space="preserve">representatives from </w:t>
      </w:r>
      <w:r w:rsidRPr="0023169E">
        <w:t xml:space="preserve">the Consortium, </w:t>
      </w:r>
      <w:r w:rsidR="0078610D">
        <w:t xml:space="preserve">the incumbent CalSAWS vendors (e.g., </w:t>
      </w:r>
      <w:r w:rsidRPr="0023169E">
        <w:t>Deloitte, Gainwell</w:t>
      </w:r>
      <w:r w:rsidR="001A53DE">
        <w:t>, BenefitsCal</w:t>
      </w:r>
      <w:r w:rsidR="0078610D">
        <w:t>)</w:t>
      </w:r>
      <w:r w:rsidRPr="0023169E">
        <w:t xml:space="preserve"> to:</w:t>
      </w:r>
    </w:p>
    <w:p w14:paraId="62C6E841" w14:textId="77777777" w:rsidR="003B17E4" w:rsidRPr="0023169E" w:rsidRDefault="003B17E4" w:rsidP="003B17E4">
      <w:pPr>
        <w:pStyle w:val="CS-IBMBullet1"/>
      </w:pPr>
      <w:r w:rsidRPr="0023169E">
        <w:t>Validate current coverage</w:t>
      </w:r>
    </w:p>
    <w:p w14:paraId="03C8E7A0" w14:textId="77777777" w:rsidR="003B17E4" w:rsidRPr="0023169E" w:rsidRDefault="003B17E4" w:rsidP="003B17E4">
      <w:pPr>
        <w:pStyle w:val="CS-IBMBullet1"/>
      </w:pPr>
      <w:r w:rsidRPr="0023169E">
        <w:t>Identify gaps tied to new policy or feature areas</w:t>
      </w:r>
    </w:p>
    <w:p w14:paraId="4D6A88B7" w14:textId="77777777" w:rsidR="003B17E4" w:rsidRPr="0023169E" w:rsidRDefault="003B17E4" w:rsidP="003B17E4">
      <w:pPr>
        <w:pStyle w:val="CS-IBMBullet1"/>
      </w:pPr>
      <w:r w:rsidRPr="0023169E">
        <w:t>Determine which assets remain valid and which must be optimized or retired</w:t>
      </w:r>
    </w:p>
    <w:p w14:paraId="0B0BB90A" w14:textId="77777777" w:rsidR="003B17E4" w:rsidRPr="0023169E" w:rsidRDefault="003B17E4" w:rsidP="003B17E4">
      <w:pPr>
        <w:pStyle w:val="CS-IBMBullet1"/>
      </w:pPr>
      <w:r w:rsidRPr="0023169E">
        <w:t>Assess alignment with current OWDs and RTM standards</w:t>
      </w:r>
    </w:p>
    <w:p w14:paraId="5BC65EF7" w14:textId="1A8AE5EA" w:rsidR="003B17E4" w:rsidRPr="004B78F3" w:rsidRDefault="003B17E4" w:rsidP="003B17E4">
      <w:pPr>
        <w:pStyle w:val="CS-IBMResponseText"/>
        <w:rPr>
          <w:i/>
          <w:iCs/>
        </w:rPr>
      </w:pPr>
      <w:r w:rsidRPr="004B78F3">
        <w:rPr>
          <w:b/>
          <w:bCs/>
        </w:rPr>
        <w:t>Deliverables from Transition/Baseline Phase</w:t>
      </w:r>
    </w:p>
    <w:p w14:paraId="64361B9F" w14:textId="77777777" w:rsidR="003B17E4" w:rsidRPr="0023169E" w:rsidRDefault="003B17E4" w:rsidP="003B17E4">
      <w:pPr>
        <w:pStyle w:val="CS-IBMBullet1"/>
      </w:pPr>
      <w:r w:rsidRPr="0081025A">
        <w:rPr>
          <w:b/>
          <w:bCs/>
        </w:rPr>
        <w:t>Test Asset Inventory Report</w:t>
      </w:r>
      <w:r w:rsidRPr="0023169E">
        <w:t xml:space="preserve"> – Full catalog by type, module, and vendor ownership</w:t>
      </w:r>
    </w:p>
    <w:p w14:paraId="0ACE8033" w14:textId="77777777" w:rsidR="003B17E4" w:rsidRPr="0023169E" w:rsidRDefault="003B17E4" w:rsidP="003B17E4">
      <w:pPr>
        <w:pStyle w:val="CS-IBMBullet1"/>
      </w:pPr>
      <w:r w:rsidRPr="0081025A">
        <w:rPr>
          <w:b/>
          <w:bCs/>
        </w:rPr>
        <w:t>Gap Analysis &amp; Rationalization Report</w:t>
      </w:r>
      <w:r w:rsidRPr="0023169E">
        <w:t xml:space="preserve"> – Overlaps, missing coverage, outdated cases</w:t>
      </w:r>
    </w:p>
    <w:p w14:paraId="672E25EB" w14:textId="402228F4" w:rsidR="00D83DEA" w:rsidRPr="00253A1A" w:rsidRDefault="003B17E4" w:rsidP="003B17E4">
      <w:pPr>
        <w:pStyle w:val="CS-IBMBullet1"/>
      </w:pPr>
      <w:r w:rsidRPr="0081025A">
        <w:rPr>
          <w:b/>
          <w:bCs/>
        </w:rPr>
        <w:t>Initial Independent Test Set Proposal</w:t>
      </w:r>
      <w:r w:rsidRPr="0023169E">
        <w:t xml:space="preserve"> – Prioritized list of retained, optimized, and net-new test cases</w:t>
      </w:r>
    </w:p>
    <w:p w14:paraId="483B281C" w14:textId="77777777" w:rsidR="00AF0CF9" w:rsidRPr="00253A1A" w:rsidRDefault="00AF0CF9" w:rsidP="00BC4499">
      <w:pPr>
        <w:pStyle w:val="CS-IBMBullet1"/>
        <w:numPr>
          <w:ilvl w:val="0"/>
          <w:numId w:val="0"/>
        </w:numPr>
        <w:ind w:left="360"/>
      </w:pPr>
    </w:p>
    <w:p w14:paraId="6A0BEE8A" w14:textId="7220962D" w:rsidR="003B17E4" w:rsidRDefault="003B17E4" w:rsidP="003B17E4">
      <w:pPr>
        <w:pStyle w:val="CS-IBMResponseText"/>
      </w:pPr>
      <w:r w:rsidRPr="00DD637A">
        <w:rPr>
          <w:color w:val="0070C0"/>
          <w:sz w:val="28"/>
          <w:szCs w:val="28"/>
        </w:rPr>
        <w:t>Why This Matters</w:t>
      </w:r>
      <w:r w:rsidRPr="0081025A">
        <w:rPr>
          <w:i/>
          <w:iCs/>
        </w:rPr>
        <w:t xml:space="preserve"> </w:t>
      </w:r>
    </w:p>
    <w:p w14:paraId="66CB0457" w14:textId="08DBB8AB" w:rsidR="003B17E4" w:rsidRPr="0023169E" w:rsidRDefault="003B17E4" w:rsidP="003B17E4">
      <w:pPr>
        <w:pStyle w:val="CS-IBMResponseText"/>
      </w:pPr>
      <w:r w:rsidRPr="0023169E">
        <w:t>This disciplined, collaborative baseline activity ensures that the initial test set is high-value, non-duplicative, aligned to CalSAWS workflows, and ready to scale. It creates immediate confidence for the Consortium and ensures IBM is not “starting from scratch” but building on prior investment.</w:t>
      </w:r>
    </w:p>
    <w:p w14:paraId="15726024" w14:textId="176150D4" w:rsidR="003B17E4" w:rsidRDefault="003B17E4" w:rsidP="003B17E4">
      <w:pPr>
        <w:pStyle w:val="CS-IBMResponseText"/>
      </w:pPr>
      <w:r w:rsidRPr="00603D55">
        <w:rPr>
          <w:b/>
          <w:bCs/>
        </w:rPr>
        <w:t>Collaborative Development of Independent Test Scenarios</w:t>
      </w:r>
    </w:p>
    <w:p w14:paraId="5FDEF315" w14:textId="7DFF7E2A" w:rsidR="003B17E4" w:rsidRPr="0023169E" w:rsidRDefault="003B17E4" w:rsidP="003B17E4">
      <w:pPr>
        <w:pStyle w:val="CS-IBMResponseText"/>
      </w:pPr>
      <w:r w:rsidRPr="0023169E">
        <w:t xml:space="preserve">Once baseline assessment is complete, IBM leads Joint Test Workshops (JTWs) to establish the first set of independent test scenarios. These sessions include </w:t>
      </w:r>
      <w:r w:rsidR="001A7ADD">
        <w:t xml:space="preserve">representatives from </w:t>
      </w:r>
      <w:r w:rsidRPr="0023169E">
        <w:t xml:space="preserve">the Consortium, counties, </w:t>
      </w:r>
      <w:r w:rsidR="0078610D">
        <w:t>and the incumbent CalSAWS vendors,</w:t>
      </w:r>
    </w:p>
    <w:p w14:paraId="07205AB4" w14:textId="672E37F2" w:rsidR="003B17E4" w:rsidRPr="0023169E" w:rsidRDefault="001A7ADD" w:rsidP="003B17E4">
      <w:pPr>
        <w:pStyle w:val="CS-IBMResponseText"/>
      </w:pPr>
      <w:r>
        <w:t xml:space="preserve">The </w:t>
      </w:r>
      <w:r w:rsidR="003B17E4" w:rsidRPr="0023169E">
        <w:t>Key Objectives of JTWs</w:t>
      </w:r>
      <w:r>
        <w:t xml:space="preserve"> include</w:t>
      </w:r>
      <w:r w:rsidR="003B17E4" w:rsidRPr="0023169E">
        <w:t>:</w:t>
      </w:r>
    </w:p>
    <w:p w14:paraId="7F445858" w14:textId="77777777" w:rsidR="003B17E4" w:rsidRPr="0023169E" w:rsidRDefault="003B17E4" w:rsidP="003B17E4">
      <w:pPr>
        <w:pStyle w:val="CS-IBMBullet1"/>
      </w:pPr>
      <w:r w:rsidRPr="0023169E">
        <w:t>Define testing boundaries between vendors</w:t>
      </w:r>
    </w:p>
    <w:p w14:paraId="7BFE2791" w14:textId="77777777" w:rsidR="003B17E4" w:rsidRPr="0023169E" w:rsidRDefault="003B17E4" w:rsidP="003B17E4">
      <w:pPr>
        <w:pStyle w:val="CS-IBMBullet1"/>
      </w:pPr>
      <w:r w:rsidRPr="0023169E">
        <w:t>Ensure coverage of end-to-end workflows that reflect county operations</w:t>
      </w:r>
    </w:p>
    <w:p w14:paraId="6040F2C4" w14:textId="77777777" w:rsidR="003B17E4" w:rsidRPr="0023169E" w:rsidRDefault="003B17E4" w:rsidP="003B17E4">
      <w:pPr>
        <w:pStyle w:val="CS-IBMBullet1"/>
      </w:pPr>
      <w:r w:rsidRPr="0023169E">
        <w:t>Capture cross-system dependencies</w:t>
      </w:r>
    </w:p>
    <w:p w14:paraId="36AE243E" w14:textId="77777777" w:rsidR="003B17E4" w:rsidRPr="0023169E" w:rsidRDefault="003B17E4" w:rsidP="003B17E4">
      <w:pPr>
        <w:pStyle w:val="CS-IBMBullet1"/>
      </w:pPr>
      <w:r w:rsidRPr="0023169E">
        <w:t>Align on environment prerequisites</w:t>
      </w:r>
    </w:p>
    <w:p w14:paraId="51B12C99" w14:textId="77777777" w:rsidR="003B17E4" w:rsidRPr="0023169E" w:rsidRDefault="003B17E4" w:rsidP="003B17E4">
      <w:pPr>
        <w:pStyle w:val="CS-IBMBullet1"/>
      </w:pPr>
      <w:r w:rsidRPr="0023169E">
        <w:t>Document assumptions, entry/exit criteria, and RACI</w:t>
      </w:r>
    </w:p>
    <w:p w14:paraId="0DCA8610" w14:textId="3821B953" w:rsidR="003B17E4" w:rsidRPr="0023169E" w:rsidRDefault="003B17E4" w:rsidP="003B17E4">
      <w:pPr>
        <w:pStyle w:val="CS-IBMResponseText"/>
      </w:pPr>
      <w:r w:rsidRPr="0023169E">
        <w:lastRenderedPageBreak/>
        <w:t>Outputs of JTWs</w:t>
      </w:r>
      <w:r w:rsidR="001A7ADD">
        <w:t xml:space="preserve"> are</w:t>
      </w:r>
      <w:r w:rsidRPr="0023169E">
        <w:t>:</w:t>
      </w:r>
    </w:p>
    <w:p w14:paraId="2D85CD95" w14:textId="77777777" w:rsidR="003B17E4" w:rsidRPr="0023169E" w:rsidRDefault="003B17E4" w:rsidP="003B17E4">
      <w:pPr>
        <w:pStyle w:val="CS-IBMBullet1"/>
      </w:pPr>
      <w:r w:rsidRPr="0023169E">
        <w:t>Prioritized end-to-end scenarios</w:t>
      </w:r>
    </w:p>
    <w:p w14:paraId="012CA8B2" w14:textId="77777777" w:rsidR="003B17E4" w:rsidRPr="0023169E" w:rsidRDefault="003B17E4" w:rsidP="003B17E4">
      <w:pPr>
        <w:pStyle w:val="CS-IBMBullet1"/>
      </w:pPr>
      <w:r w:rsidRPr="0023169E">
        <w:t>Cross-vendor workflow maps</w:t>
      </w:r>
    </w:p>
    <w:p w14:paraId="295066CB" w14:textId="77777777" w:rsidR="003B17E4" w:rsidRPr="0023169E" w:rsidRDefault="003B17E4" w:rsidP="003B17E4">
      <w:pPr>
        <w:pStyle w:val="CS-IBMBullet1"/>
      </w:pPr>
      <w:r w:rsidRPr="0023169E">
        <w:t>Independent test scenario catalog</w:t>
      </w:r>
    </w:p>
    <w:p w14:paraId="0C844115" w14:textId="77777777" w:rsidR="003B17E4" w:rsidRPr="0023169E" w:rsidRDefault="003B17E4" w:rsidP="003B17E4">
      <w:pPr>
        <w:pStyle w:val="CS-IBMBullet1"/>
      </w:pPr>
      <w:r w:rsidRPr="0023169E">
        <w:t>Test entry/exit criteria (aligned with Green Light)</w:t>
      </w:r>
    </w:p>
    <w:p w14:paraId="48C17E9C" w14:textId="77777777" w:rsidR="003B17E4" w:rsidRPr="0023169E" w:rsidRDefault="003B17E4" w:rsidP="003B17E4">
      <w:pPr>
        <w:pStyle w:val="CS-IBMBullet1"/>
      </w:pPr>
      <w:r w:rsidRPr="0023169E">
        <w:t>Environment readiness framework</w:t>
      </w:r>
    </w:p>
    <w:p w14:paraId="1252B30F" w14:textId="16414B26" w:rsidR="00D83DEA" w:rsidRPr="001C3A57" w:rsidRDefault="008F51B3" w:rsidP="003B17E4">
      <w:pPr>
        <w:pStyle w:val="CS-IBMResponseText"/>
      </w:pPr>
      <w:r>
        <w:t>Conducting JTWs</w:t>
      </w:r>
      <w:r w:rsidR="003B17E4" w:rsidRPr="0023169E">
        <w:t xml:space="preserve"> ensures the initial independent test set reflects real-world usage, county needs, and integration complexity, not just isolated functionality.</w:t>
      </w:r>
    </w:p>
    <w:p w14:paraId="534929A0" w14:textId="320F5C3F" w:rsidR="003B17E4" w:rsidRDefault="003B17E4" w:rsidP="003B17E4">
      <w:pPr>
        <w:pStyle w:val="CS-IBMResponseText"/>
        <w:rPr>
          <w:i/>
          <w:iCs/>
          <w:highlight w:val="yellow"/>
        </w:rPr>
      </w:pPr>
      <w:r w:rsidRPr="00DD637A">
        <w:rPr>
          <w:color w:val="0070C0"/>
          <w:sz w:val="28"/>
          <w:szCs w:val="28"/>
        </w:rPr>
        <w:t>Phased QA Lifecycle Integration</w:t>
      </w:r>
      <w:r w:rsidRPr="00311F21">
        <w:rPr>
          <w:color w:val="0070C0"/>
        </w:rPr>
        <w:t xml:space="preserve"> </w:t>
      </w:r>
    </w:p>
    <w:p w14:paraId="38CEC135" w14:textId="453CD88A" w:rsidR="003B17E4" w:rsidRPr="0023169E" w:rsidRDefault="003B17E4" w:rsidP="003B17E4">
      <w:pPr>
        <w:pStyle w:val="CS-IBMResponseText"/>
      </w:pPr>
      <w:r w:rsidRPr="0023169E">
        <w:t>IBM integrates independent testing into each stage of the QA lifecycle rather than waiting until execution. This promotes shift-left quality and early alignment with vendors and counties.</w:t>
      </w:r>
      <w:r w:rsidR="003A4092">
        <w:t xml:space="preserve"> Integration</w:t>
      </w:r>
      <w:r w:rsidR="00E77E30">
        <w:t xml:space="preserve"> of independent testing includes the following activities associated within test phases.</w:t>
      </w:r>
    </w:p>
    <w:p w14:paraId="6ED6DF2D" w14:textId="77777777" w:rsidR="003B17E4" w:rsidRPr="00311F21" w:rsidRDefault="003B17E4" w:rsidP="003B17E4">
      <w:pPr>
        <w:pStyle w:val="CS-IBMResponseText"/>
        <w:rPr>
          <w:b/>
          <w:bCs/>
        </w:rPr>
      </w:pPr>
      <w:r w:rsidRPr="00311F21">
        <w:rPr>
          <w:b/>
          <w:bCs/>
        </w:rPr>
        <w:t>Test Planning Phase</w:t>
      </w:r>
    </w:p>
    <w:p w14:paraId="443CA1C8" w14:textId="77777777" w:rsidR="003B17E4" w:rsidRPr="0023169E" w:rsidRDefault="003B17E4" w:rsidP="003B17E4">
      <w:pPr>
        <w:pStyle w:val="CS-IBMBullet1"/>
      </w:pPr>
      <w:r w:rsidRPr="0023169E">
        <w:t>Identify scope, risks, dependencies</w:t>
      </w:r>
    </w:p>
    <w:p w14:paraId="651746CD" w14:textId="77777777" w:rsidR="003B17E4" w:rsidRPr="0023169E" w:rsidRDefault="003B17E4" w:rsidP="003B17E4">
      <w:pPr>
        <w:pStyle w:val="CS-IBMBullet1"/>
      </w:pPr>
      <w:r w:rsidRPr="0023169E">
        <w:t>Map to business and county workflows</w:t>
      </w:r>
    </w:p>
    <w:p w14:paraId="49041BCF" w14:textId="77777777" w:rsidR="003B17E4" w:rsidRPr="0023169E" w:rsidRDefault="003B17E4" w:rsidP="003B17E4">
      <w:pPr>
        <w:pStyle w:val="CS-IBMBullet1"/>
      </w:pPr>
      <w:r w:rsidRPr="0023169E">
        <w:t>Define entry/exit criteria</w:t>
      </w:r>
    </w:p>
    <w:p w14:paraId="3DABBF46" w14:textId="77777777" w:rsidR="003B17E4" w:rsidRPr="00311F21" w:rsidRDefault="003B17E4" w:rsidP="003B17E4">
      <w:pPr>
        <w:pStyle w:val="CS-IBMResponseText"/>
        <w:rPr>
          <w:b/>
          <w:bCs/>
        </w:rPr>
      </w:pPr>
      <w:r w:rsidRPr="00311F21">
        <w:rPr>
          <w:b/>
          <w:bCs/>
        </w:rPr>
        <w:t>Test Design Phase</w:t>
      </w:r>
    </w:p>
    <w:p w14:paraId="00D5A990" w14:textId="77777777" w:rsidR="003B17E4" w:rsidRPr="0023169E" w:rsidRDefault="003B17E4" w:rsidP="003B17E4">
      <w:pPr>
        <w:pStyle w:val="CS-IBMBullet1"/>
      </w:pPr>
      <w:r w:rsidRPr="0023169E">
        <w:t>Author test cases with Requirements Traceability Matrix (RTM) in JIRA/JTM</w:t>
      </w:r>
    </w:p>
    <w:p w14:paraId="1FD6B795" w14:textId="77777777" w:rsidR="003B17E4" w:rsidRPr="0023169E" w:rsidRDefault="003B17E4" w:rsidP="003B17E4">
      <w:pPr>
        <w:pStyle w:val="CS-IBMBullet1"/>
      </w:pPr>
      <w:r w:rsidRPr="0023169E">
        <w:t>Conduct peer reviews and Consortium validation</w:t>
      </w:r>
    </w:p>
    <w:p w14:paraId="0B4D8070" w14:textId="77777777" w:rsidR="003B17E4" w:rsidRPr="0023169E" w:rsidRDefault="003B17E4" w:rsidP="003B17E4">
      <w:pPr>
        <w:pStyle w:val="CS-IBMBullet1"/>
      </w:pPr>
      <w:r w:rsidRPr="0023169E">
        <w:t>Tag cases by priority (business critical, high risk)</w:t>
      </w:r>
    </w:p>
    <w:p w14:paraId="3744F53C" w14:textId="77777777" w:rsidR="003B17E4" w:rsidRPr="00311F21" w:rsidRDefault="003B17E4" w:rsidP="003B17E4">
      <w:pPr>
        <w:pStyle w:val="CS-IBMResponseText"/>
        <w:rPr>
          <w:b/>
          <w:bCs/>
        </w:rPr>
      </w:pPr>
      <w:r w:rsidRPr="00311F21">
        <w:rPr>
          <w:b/>
          <w:bCs/>
        </w:rPr>
        <w:t>Test Data Preparation</w:t>
      </w:r>
    </w:p>
    <w:p w14:paraId="6B80C4E4" w14:textId="77777777" w:rsidR="003B17E4" w:rsidRPr="0023169E" w:rsidRDefault="003B17E4" w:rsidP="003B17E4">
      <w:pPr>
        <w:pStyle w:val="CS-IBMBullet1"/>
      </w:pPr>
      <w:r w:rsidRPr="0023169E">
        <w:t>Identify reusable and synthetic data needs</w:t>
      </w:r>
    </w:p>
    <w:p w14:paraId="460E48ED" w14:textId="77777777" w:rsidR="003B17E4" w:rsidRPr="0023169E" w:rsidRDefault="003B17E4" w:rsidP="003B17E4">
      <w:pPr>
        <w:pStyle w:val="CS-IBMBullet1"/>
      </w:pPr>
      <w:r w:rsidRPr="0023169E">
        <w:t>Mask or generate data as required</w:t>
      </w:r>
    </w:p>
    <w:p w14:paraId="2D108DBB" w14:textId="77777777" w:rsidR="003B17E4" w:rsidRPr="0023169E" w:rsidRDefault="003B17E4" w:rsidP="003B17E4">
      <w:pPr>
        <w:pStyle w:val="CS-IBMBullet1"/>
      </w:pPr>
      <w:r w:rsidRPr="0023169E">
        <w:t>Validate data availability and distribution across environments</w:t>
      </w:r>
    </w:p>
    <w:p w14:paraId="6F1A0C68" w14:textId="77777777" w:rsidR="003B17E4" w:rsidRPr="00311F21" w:rsidRDefault="003B17E4" w:rsidP="003B17E4">
      <w:pPr>
        <w:pStyle w:val="CS-IBMResponseText"/>
        <w:rPr>
          <w:b/>
          <w:bCs/>
        </w:rPr>
      </w:pPr>
      <w:r w:rsidRPr="00311F21">
        <w:rPr>
          <w:b/>
          <w:bCs/>
        </w:rPr>
        <w:t>Test Execution &amp; Reporting</w:t>
      </w:r>
    </w:p>
    <w:p w14:paraId="555AEAF0" w14:textId="77777777" w:rsidR="003B17E4" w:rsidRPr="0023169E" w:rsidRDefault="003B17E4" w:rsidP="003B17E4">
      <w:pPr>
        <w:pStyle w:val="CS-IBMBullet1"/>
      </w:pPr>
      <w:r w:rsidRPr="0023169E">
        <w:t>Execute independent tests in parallel with vendor testing</w:t>
      </w:r>
    </w:p>
    <w:p w14:paraId="1BF3EE74" w14:textId="77777777" w:rsidR="003B17E4" w:rsidRPr="0023169E" w:rsidRDefault="003B17E4" w:rsidP="003B17E4">
      <w:pPr>
        <w:pStyle w:val="CS-IBMBullet1"/>
      </w:pPr>
      <w:r w:rsidRPr="0023169E">
        <w:t>Log results in JIRA/JTM</w:t>
      </w:r>
    </w:p>
    <w:p w14:paraId="780F95E1" w14:textId="77777777" w:rsidR="003B17E4" w:rsidRPr="0023169E" w:rsidRDefault="003B17E4" w:rsidP="003B17E4">
      <w:pPr>
        <w:pStyle w:val="CS-IBMBullet1"/>
      </w:pPr>
      <w:r w:rsidRPr="0023169E">
        <w:t>Provide daily dashboards and weekly summaries</w:t>
      </w:r>
    </w:p>
    <w:p w14:paraId="08F5CC5B" w14:textId="77777777" w:rsidR="003B17E4" w:rsidRPr="001B0364" w:rsidRDefault="003B17E4" w:rsidP="003B17E4">
      <w:pPr>
        <w:pStyle w:val="CS-IBMResponseText"/>
        <w:rPr>
          <w:b/>
          <w:bCs/>
        </w:rPr>
      </w:pPr>
      <w:r w:rsidRPr="001B0364">
        <w:rPr>
          <w:b/>
          <w:bCs/>
        </w:rPr>
        <w:t>Defect Management &amp; Closure</w:t>
      </w:r>
    </w:p>
    <w:p w14:paraId="58AD7D06" w14:textId="77777777" w:rsidR="003B17E4" w:rsidRPr="0023169E" w:rsidRDefault="003B17E4" w:rsidP="003B17E4">
      <w:pPr>
        <w:pStyle w:val="CS-IBMBullet1"/>
      </w:pPr>
      <w:r w:rsidRPr="0023169E">
        <w:t>Log defects independently</w:t>
      </w:r>
    </w:p>
    <w:p w14:paraId="12A23157" w14:textId="77777777" w:rsidR="003B17E4" w:rsidRPr="0023169E" w:rsidRDefault="003B17E4" w:rsidP="003B17E4">
      <w:pPr>
        <w:pStyle w:val="CS-IBMBullet1"/>
      </w:pPr>
      <w:r w:rsidRPr="0023169E">
        <w:t>Participate in cross-vendor triage</w:t>
      </w:r>
    </w:p>
    <w:p w14:paraId="734B8821" w14:textId="77777777" w:rsidR="003B17E4" w:rsidRPr="0023169E" w:rsidRDefault="003B17E4" w:rsidP="003B17E4">
      <w:pPr>
        <w:pStyle w:val="CS-IBMBullet1"/>
      </w:pPr>
      <w:r w:rsidRPr="0023169E">
        <w:t>Track SLAs, root cause, and re-test</w:t>
      </w:r>
    </w:p>
    <w:p w14:paraId="101630BE" w14:textId="12CA807C" w:rsidR="003B17E4" w:rsidRPr="0023169E" w:rsidRDefault="003B17E4" w:rsidP="00584808">
      <w:pPr>
        <w:pStyle w:val="CS-IBMBullet1"/>
      </w:pPr>
      <w:r w:rsidRPr="0023169E">
        <w:t>Present results in Test Closure Reviews</w:t>
      </w:r>
    </w:p>
    <w:p w14:paraId="45B0055A" w14:textId="77777777" w:rsidR="00D83DEA" w:rsidRDefault="00D83DEA" w:rsidP="003B17E4">
      <w:pPr>
        <w:pStyle w:val="CS-IBMResponseText"/>
        <w:rPr>
          <w:color w:val="0070C0"/>
          <w:sz w:val="28"/>
          <w:szCs w:val="28"/>
        </w:rPr>
      </w:pPr>
    </w:p>
    <w:p w14:paraId="528BE01B" w14:textId="77777777" w:rsidR="001C3A57" w:rsidRDefault="001C3A57" w:rsidP="003B17E4">
      <w:pPr>
        <w:pStyle w:val="CS-IBMResponseText"/>
        <w:rPr>
          <w:color w:val="0070C0"/>
          <w:sz w:val="28"/>
          <w:szCs w:val="28"/>
        </w:rPr>
      </w:pPr>
    </w:p>
    <w:p w14:paraId="3E589D40" w14:textId="589456C6" w:rsidR="003B17E4" w:rsidRPr="00B914AC" w:rsidRDefault="003B17E4" w:rsidP="003B17E4">
      <w:pPr>
        <w:pStyle w:val="CS-IBMResponseText"/>
        <w:rPr>
          <w:i/>
          <w:iCs/>
        </w:rPr>
      </w:pPr>
      <w:r w:rsidRPr="00DD637A">
        <w:rPr>
          <w:color w:val="0070C0"/>
          <w:sz w:val="28"/>
          <w:szCs w:val="28"/>
        </w:rPr>
        <w:lastRenderedPageBreak/>
        <w:t>Independent Test Case Design &amp; Development</w:t>
      </w:r>
      <w:r w:rsidRPr="00B914AC">
        <w:rPr>
          <w:b/>
          <w:bCs/>
        </w:rPr>
        <w:t xml:space="preserve"> </w:t>
      </w:r>
    </w:p>
    <w:p w14:paraId="4C419A85" w14:textId="08C94858" w:rsidR="00E65D66" w:rsidRPr="00D02504" w:rsidRDefault="00E65D66" w:rsidP="0094584F">
      <w:pPr>
        <w:spacing w:before="0" w:after="0"/>
        <w:rPr>
          <w:rFonts w:cs="Arial"/>
          <w:color w:val="0D0D0D" w:themeColor="text1" w:themeTint="F2"/>
          <w:szCs w:val="21"/>
        </w:rPr>
      </w:pPr>
      <w:r w:rsidRPr="00D02504">
        <w:rPr>
          <w:rFonts w:cs="Arial"/>
          <w:color w:val="0D0D0D" w:themeColor="text1" w:themeTint="F2"/>
          <w:szCs w:val="21"/>
        </w:rPr>
        <w:t>IBM uses a model-based, risk-driven, and AI-assisted approach to design high-value, independent test cases.</w:t>
      </w:r>
      <w:r w:rsidR="00A85222">
        <w:rPr>
          <w:rFonts w:cs="Arial"/>
          <w:color w:val="0D0D0D" w:themeColor="text1" w:themeTint="F2"/>
          <w:szCs w:val="21"/>
        </w:rPr>
        <w:t xml:space="preserve"> </w:t>
      </w:r>
      <w:r w:rsidRPr="00D02504">
        <w:rPr>
          <w:rFonts w:cs="Arial"/>
          <w:color w:val="0D0D0D" w:themeColor="text1" w:themeTint="F2"/>
          <w:szCs w:val="21"/>
        </w:rPr>
        <w:t>This structured approach ensures that test design is not just technical but aligned with CalSAWS’ mission of delivering accessible and equitable public services. Each test case is crafted to validate business rules, program integrity, and user experience across counties</w:t>
      </w:r>
      <w:r w:rsidR="00CF3E96">
        <w:rPr>
          <w:rFonts w:cs="Arial"/>
          <w:color w:val="0D0D0D" w:themeColor="text1" w:themeTint="F2"/>
          <w:szCs w:val="21"/>
        </w:rPr>
        <w:t xml:space="preserve"> </w:t>
      </w:r>
      <w:r w:rsidRPr="00D02504">
        <w:rPr>
          <w:rFonts w:cs="Arial"/>
          <w:color w:val="0D0D0D" w:themeColor="text1" w:themeTint="F2"/>
          <w:szCs w:val="21"/>
        </w:rPr>
        <w:t>building confidence in functionality, performance, and accessibility from day one.</w:t>
      </w:r>
    </w:p>
    <w:p w14:paraId="68956AE0" w14:textId="60E90570" w:rsidR="003B17E4" w:rsidRPr="0023169E" w:rsidRDefault="00747D90" w:rsidP="003B17E4">
      <w:pPr>
        <w:pStyle w:val="CS-IBMResponseText"/>
      </w:pPr>
      <w:r>
        <w:t>.</w:t>
      </w:r>
    </w:p>
    <w:p w14:paraId="47321048" w14:textId="642CC0A3" w:rsidR="003B17E4" w:rsidRDefault="003B17E4" w:rsidP="003B17E4">
      <w:pPr>
        <w:pStyle w:val="CS-IBMResponseText"/>
      </w:pPr>
      <w:r w:rsidRPr="00B914AC">
        <w:rPr>
          <w:b/>
          <w:bCs/>
        </w:rPr>
        <w:t>Model-Based Test Design</w:t>
      </w:r>
    </w:p>
    <w:p w14:paraId="66A76C20" w14:textId="51373A78" w:rsidR="003B17E4" w:rsidRPr="0023169E" w:rsidRDefault="007A5A1F" w:rsidP="0094584F">
      <w:pPr>
        <w:pStyle w:val="CS-IBMResponseText"/>
        <w:spacing w:before="0" w:after="0"/>
      </w:pPr>
      <w:r w:rsidRPr="00D02504">
        <w:t>Test cases are derived from CalSAWS business rules, county workflows, integration points, and client-facing functions, including accessibility, usability, and ease of use. Each test is tied to a specific requirement, policy, or operational control, ensuring that CalSAWS’ citizen-facing systems deliver accurate, accessible, and equitable experiences across counties.</w:t>
      </w:r>
      <w:r w:rsidRPr="00D02504">
        <w:br/>
      </w:r>
      <w:r w:rsidR="00796714">
        <w:t xml:space="preserve"> </w:t>
      </w:r>
    </w:p>
    <w:p w14:paraId="3FEBFCE3" w14:textId="2A33BF35" w:rsidR="003B17E4" w:rsidRDefault="003B17E4" w:rsidP="003B17E4">
      <w:pPr>
        <w:pStyle w:val="CS-IBMResponseText"/>
      </w:pPr>
      <w:r w:rsidRPr="0003031C">
        <w:rPr>
          <w:b/>
          <w:bCs/>
        </w:rPr>
        <w:t>AI-Enabled Rationalization and Optimization</w:t>
      </w:r>
    </w:p>
    <w:p w14:paraId="5B517491" w14:textId="77777777" w:rsidR="003B17E4" w:rsidRPr="0023169E" w:rsidRDefault="003B17E4" w:rsidP="003B17E4">
      <w:pPr>
        <w:pStyle w:val="CS-IBMResponseText"/>
      </w:pPr>
      <w:r w:rsidRPr="0023169E">
        <w:t>Using NLP and clustering, IBM analyzes existing tests to detect:</w:t>
      </w:r>
    </w:p>
    <w:p w14:paraId="5EF1D24A" w14:textId="77777777" w:rsidR="003B17E4" w:rsidRPr="0023169E" w:rsidRDefault="003B17E4" w:rsidP="003B17E4">
      <w:pPr>
        <w:pStyle w:val="CS-IBMBullet1"/>
      </w:pPr>
      <w:r w:rsidRPr="0023169E">
        <w:t>Duplicates</w:t>
      </w:r>
    </w:p>
    <w:p w14:paraId="7E1D4522" w14:textId="77777777" w:rsidR="003B17E4" w:rsidRPr="0023169E" w:rsidRDefault="003B17E4" w:rsidP="003B17E4">
      <w:pPr>
        <w:pStyle w:val="CS-IBMBullet1"/>
      </w:pPr>
      <w:r w:rsidRPr="0023169E">
        <w:t>Obsolete cases</w:t>
      </w:r>
    </w:p>
    <w:p w14:paraId="43F22AE7" w14:textId="77777777" w:rsidR="003B17E4" w:rsidRPr="0023169E" w:rsidRDefault="003B17E4" w:rsidP="003B17E4">
      <w:pPr>
        <w:pStyle w:val="CS-IBMBullet1"/>
      </w:pPr>
      <w:r w:rsidRPr="0023169E">
        <w:t>Overlapping scenarios</w:t>
      </w:r>
    </w:p>
    <w:p w14:paraId="3C64BC01" w14:textId="77777777" w:rsidR="003B17E4" w:rsidRPr="0023169E" w:rsidRDefault="003B17E4" w:rsidP="003B17E4">
      <w:pPr>
        <w:pStyle w:val="CS-IBMBullet1"/>
      </w:pPr>
      <w:r w:rsidRPr="0023169E">
        <w:t>Missing coverage areas</w:t>
      </w:r>
    </w:p>
    <w:p w14:paraId="7F8D5544" w14:textId="7E5C16F4" w:rsidR="003B17E4" w:rsidRPr="0023169E" w:rsidRDefault="003B17E4" w:rsidP="003B17E4">
      <w:pPr>
        <w:pStyle w:val="CS-IBMResponseText"/>
      </w:pPr>
      <w:r w:rsidRPr="00873FBF">
        <w:rPr>
          <w:u w:val="single"/>
        </w:rPr>
        <w:t>Output</w:t>
      </w:r>
      <w:r w:rsidRPr="0023169E">
        <w:t xml:space="preserve">: De-Duplication and Optimization Report, reviewed with </w:t>
      </w:r>
      <w:r w:rsidR="0020696C">
        <w:t xml:space="preserve">the </w:t>
      </w:r>
      <w:r w:rsidRPr="0023169E">
        <w:t>Consortium.</w:t>
      </w:r>
    </w:p>
    <w:p w14:paraId="6C0D08E9" w14:textId="07D3676A" w:rsidR="003B17E4" w:rsidRDefault="003B17E4" w:rsidP="003B17E4">
      <w:pPr>
        <w:pStyle w:val="CS-IBMResponseText"/>
      </w:pPr>
      <w:r w:rsidRPr="00472F47">
        <w:rPr>
          <w:b/>
          <w:bCs/>
        </w:rPr>
        <w:t xml:space="preserve">Behavior-Driven Development (BDD) </w:t>
      </w:r>
    </w:p>
    <w:p w14:paraId="6513C89F" w14:textId="0AE7A5C0" w:rsidR="00C27A53" w:rsidRPr="00D02504" w:rsidRDefault="00C27A53" w:rsidP="00C27A53">
      <w:pPr>
        <w:spacing w:before="0" w:after="0"/>
      </w:pPr>
      <w:r w:rsidRPr="00D02504">
        <w:rPr>
          <w:b/>
          <w:bCs/>
        </w:rPr>
        <w:t>BD</w:t>
      </w:r>
      <w:r>
        <w:rPr>
          <w:b/>
          <w:bCs/>
        </w:rPr>
        <w:t>D</w:t>
      </w:r>
      <w:r w:rsidRPr="00D02504">
        <w:t xml:space="preserve"> is a collaborative testing approach that defines expected system behavior in simple, everyday language. It helps business users, developers, and QA staff communicate seamlessly by focusing on user outcomes rather than technical implementation.</w:t>
      </w:r>
    </w:p>
    <w:p w14:paraId="430474D9" w14:textId="77777777" w:rsidR="00C27A53" w:rsidRPr="00D02504" w:rsidRDefault="00C27A53" w:rsidP="00C27A53">
      <w:pPr>
        <w:spacing w:before="0" w:after="0"/>
      </w:pPr>
      <w:r w:rsidRPr="00D02504">
        <w:t xml:space="preserve">IBM uses </w:t>
      </w:r>
      <w:r w:rsidRPr="00D02504">
        <w:rPr>
          <w:b/>
          <w:bCs/>
        </w:rPr>
        <w:t>Gherkin syntax</w:t>
      </w:r>
      <w:r w:rsidRPr="00D02504">
        <w:t>, a structured “Given–When–Then” format that describes how a system should behave in specific situations, allowing all stakeholders—technical or not—to review and understand test logic easily.</w:t>
      </w:r>
      <w:r w:rsidRPr="00D02504">
        <w:br/>
      </w:r>
      <w:r w:rsidRPr="00D02504">
        <w:rPr>
          <w:b/>
          <w:bCs/>
        </w:rPr>
        <w:t>Example:</w:t>
      </w:r>
    </w:p>
    <w:p w14:paraId="1D0370B1" w14:textId="77777777" w:rsidR="00C27A53" w:rsidRPr="00D02504" w:rsidRDefault="00C27A53" w:rsidP="00CF7600">
      <w:pPr>
        <w:numPr>
          <w:ilvl w:val="0"/>
          <w:numId w:val="48"/>
        </w:numPr>
        <w:spacing w:before="0" w:after="0"/>
      </w:pPr>
      <w:r w:rsidRPr="00D02504">
        <w:rPr>
          <w:i/>
          <w:iCs/>
        </w:rPr>
        <w:t>Given</w:t>
      </w:r>
      <w:r w:rsidRPr="00D02504">
        <w:t xml:space="preserve"> a county worker processes a CalWORKs application</w:t>
      </w:r>
    </w:p>
    <w:p w14:paraId="2806F132" w14:textId="77777777" w:rsidR="00C27A53" w:rsidRPr="00D02504" w:rsidRDefault="00C27A53" w:rsidP="00CF7600">
      <w:pPr>
        <w:numPr>
          <w:ilvl w:val="0"/>
          <w:numId w:val="48"/>
        </w:numPr>
        <w:spacing w:before="0" w:after="0"/>
      </w:pPr>
      <w:r w:rsidRPr="00D02504">
        <w:rPr>
          <w:i/>
          <w:iCs/>
        </w:rPr>
        <w:t>When</w:t>
      </w:r>
      <w:r w:rsidRPr="00D02504">
        <w:t xml:space="preserve"> income exceeds the threshold</w:t>
      </w:r>
    </w:p>
    <w:p w14:paraId="2D5FDC2A" w14:textId="77777777" w:rsidR="00C27A53" w:rsidRPr="00D02504" w:rsidRDefault="00C27A53" w:rsidP="00CF7600">
      <w:pPr>
        <w:numPr>
          <w:ilvl w:val="0"/>
          <w:numId w:val="48"/>
        </w:numPr>
        <w:spacing w:before="0" w:after="0"/>
      </w:pPr>
      <w:r w:rsidRPr="00D02504">
        <w:rPr>
          <w:i/>
          <w:iCs/>
        </w:rPr>
        <w:t>Then</w:t>
      </w:r>
      <w:r w:rsidRPr="00D02504">
        <w:t xml:space="preserve"> the system prompts for eligibility verification</w:t>
      </w:r>
    </w:p>
    <w:p w14:paraId="35EE4D7C" w14:textId="1A9E0F01" w:rsidR="000D15C0" w:rsidRDefault="00C27A53" w:rsidP="00C27A53">
      <w:pPr>
        <w:spacing w:before="0" w:after="0"/>
      </w:pPr>
      <w:r w:rsidRPr="00D02504">
        <w:t>Because Gherkin uses plain English, test intent is clear to business analysts, developers, and counties</w:t>
      </w:r>
      <w:r>
        <w:t xml:space="preserve"> </w:t>
      </w:r>
      <w:r w:rsidRPr="00D02504">
        <w:t>eliminating the need for technical translation and enabling rapid validation and collaboration.</w:t>
      </w:r>
    </w:p>
    <w:p w14:paraId="227B4FA5" w14:textId="756F606C" w:rsidR="003B17E4" w:rsidRDefault="003B17E4" w:rsidP="003B17E4">
      <w:pPr>
        <w:pStyle w:val="CS-IBMResponseText"/>
      </w:pPr>
    </w:p>
    <w:p w14:paraId="5626E2E7" w14:textId="77777777" w:rsidR="00A06CBD" w:rsidRDefault="00A06CBD" w:rsidP="003B17E4">
      <w:pPr>
        <w:pStyle w:val="CS-IBMResponseText"/>
      </w:pPr>
    </w:p>
    <w:p w14:paraId="7E767104" w14:textId="77777777" w:rsidR="00A06CBD" w:rsidRDefault="00A06CBD" w:rsidP="003B17E4">
      <w:pPr>
        <w:pStyle w:val="CS-IBMResponseText"/>
      </w:pPr>
    </w:p>
    <w:p w14:paraId="7E88F4BD" w14:textId="77777777" w:rsidR="00A06CBD" w:rsidRDefault="00A06CBD" w:rsidP="003B17E4">
      <w:pPr>
        <w:pStyle w:val="CS-IBMResponseText"/>
      </w:pPr>
    </w:p>
    <w:p w14:paraId="6FAB31B9" w14:textId="719DF514" w:rsidR="003B17E4" w:rsidRDefault="003B17E4" w:rsidP="003B17E4">
      <w:pPr>
        <w:pStyle w:val="CS-IBMResponseText"/>
      </w:pPr>
      <w:r w:rsidRPr="00472F47">
        <w:rPr>
          <w:b/>
          <w:bCs/>
        </w:rPr>
        <w:lastRenderedPageBreak/>
        <w:t>Alignment With Requirement QA-4.1-30: Full Coverage Across Testing Types</w:t>
      </w:r>
      <w:r w:rsidRPr="00472F47">
        <w:rPr>
          <w:b/>
          <w:bCs/>
          <w:i/>
          <w:iCs/>
        </w:rPr>
        <w:t xml:space="preserve"> </w:t>
      </w:r>
    </w:p>
    <w:p w14:paraId="159F7CAC" w14:textId="77777777" w:rsidR="003B17E4" w:rsidRPr="0023169E" w:rsidRDefault="003B17E4" w:rsidP="003B17E4">
      <w:pPr>
        <w:pStyle w:val="CS-IBMResponseText"/>
      </w:pPr>
      <w:r w:rsidRPr="0023169E">
        <w:t>IBM establishes independent test cases for:</w:t>
      </w:r>
    </w:p>
    <w:p w14:paraId="76535294" w14:textId="459848A7" w:rsidR="001961FE" w:rsidRDefault="001961FE" w:rsidP="001961FE">
      <w:pPr>
        <w:pStyle w:val="Caption"/>
        <w:keepNext/>
        <w:jc w:val="center"/>
      </w:pPr>
      <w:bookmarkStart w:id="75" w:name="_Toc213069576"/>
      <w:r>
        <w:t xml:space="preserve">Table 4.4.1. </w:t>
      </w:r>
      <w:r>
        <w:fldChar w:fldCharType="begin"/>
      </w:r>
      <w:r>
        <w:instrText xml:space="preserve"> SEQ Table_4.4.1. \* ARABIC </w:instrText>
      </w:r>
      <w:r>
        <w:fldChar w:fldCharType="separate"/>
      </w:r>
      <w:r w:rsidR="00C04C72">
        <w:rPr>
          <w:noProof/>
        </w:rPr>
        <w:t>2</w:t>
      </w:r>
      <w:r>
        <w:fldChar w:fldCharType="end"/>
      </w:r>
      <w:r>
        <w:t xml:space="preserve"> Testing types and approach</w:t>
      </w:r>
      <w:bookmarkEnd w:id="75"/>
    </w:p>
    <w:tbl>
      <w:tblPr>
        <w:tblStyle w:val="TableGrid"/>
        <w:tblW w:w="0" w:type="auto"/>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2"/>
        <w:gridCol w:w="5384"/>
      </w:tblGrid>
      <w:tr w:rsidR="00A740E3" w:rsidRPr="0023169E" w14:paraId="75E43BBA" w14:textId="77777777" w:rsidTr="00E30C95">
        <w:trPr>
          <w:cnfStyle w:val="100000000000" w:firstRow="1" w:lastRow="0" w:firstColumn="0" w:lastColumn="0" w:oddVBand="0" w:evenVBand="0" w:oddHBand="0" w:evenHBand="0" w:firstRowFirstColumn="0" w:firstRowLastColumn="0" w:lastRowFirstColumn="0" w:lastRowLastColumn="0"/>
          <w:tblHeader/>
          <w:jc w:val="center"/>
        </w:trPr>
        <w:tc>
          <w:tcPr>
            <w:tcW w:w="0" w:type="auto"/>
            <w:shd w:val="clear" w:color="auto" w:fill="0070C0"/>
            <w:hideMark/>
          </w:tcPr>
          <w:p w14:paraId="6BE8B466" w14:textId="77777777" w:rsidR="003B17E4" w:rsidRPr="0023169E" w:rsidRDefault="003B17E4" w:rsidP="00E30C95">
            <w:pPr>
              <w:pStyle w:val="CS-IBMTableColumnHeader"/>
              <w:jc w:val="left"/>
            </w:pPr>
            <w:r w:rsidRPr="0023169E">
              <w:t>Testing Type</w:t>
            </w:r>
          </w:p>
        </w:tc>
        <w:tc>
          <w:tcPr>
            <w:tcW w:w="0" w:type="auto"/>
            <w:shd w:val="clear" w:color="auto" w:fill="0070C0"/>
            <w:hideMark/>
          </w:tcPr>
          <w:p w14:paraId="595D932E" w14:textId="77777777" w:rsidR="003B17E4" w:rsidRPr="0023169E" w:rsidRDefault="003B17E4" w:rsidP="00E30C95">
            <w:pPr>
              <w:pStyle w:val="CS-IBMTableColumnHeader"/>
              <w:jc w:val="left"/>
            </w:pPr>
            <w:r w:rsidRPr="0023169E">
              <w:t>IBM Approach</w:t>
            </w:r>
          </w:p>
        </w:tc>
      </w:tr>
      <w:tr w:rsidR="00A43C91" w:rsidRPr="0023169E" w14:paraId="40719B1D" w14:textId="77777777" w:rsidTr="00E30C95">
        <w:trPr>
          <w:jc w:val="center"/>
        </w:trPr>
        <w:tc>
          <w:tcPr>
            <w:tcW w:w="0" w:type="auto"/>
            <w:shd w:val="clear" w:color="auto" w:fill="FFFFFF" w:themeFill="background1"/>
            <w:hideMark/>
          </w:tcPr>
          <w:p w14:paraId="4FD43D9D" w14:textId="77777777" w:rsidR="003B17E4" w:rsidRPr="0023169E" w:rsidRDefault="003B17E4" w:rsidP="00E30C95">
            <w:pPr>
              <w:pStyle w:val="CS-IBMTableText"/>
            </w:pPr>
            <w:r w:rsidRPr="0023169E">
              <w:t>Integration</w:t>
            </w:r>
          </w:p>
        </w:tc>
        <w:tc>
          <w:tcPr>
            <w:tcW w:w="0" w:type="auto"/>
            <w:shd w:val="clear" w:color="auto" w:fill="FFFFFF" w:themeFill="background1"/>
            <w:hideMark/>
          </w:tcPr>
          <w:p w14:paraId="1C4C915F" w14:textId="77777777" w:rsidR="003B17E4" w:rsidRPr="0023169E" w:rsidRDefault="003B17E4" w:rsidP="00E30C95">
            <w:pPr>
              <w:pStyle w:val="CS-IBMTableText"/>
            </w:pPr>
            <w:r w:rsidRPr="0023169E">
              <w:t>Validate inter-system data flow</w:t>
            </w:r>
          </w:p>
        </w:tc>
      </w:tr>
      <w:tr w:rsidR="00D30492" w:rsidRPr="0023169E" w14:paraId="491E1F79" w14:textId="77777777" w:rsidTr="00E30C95">
        <w:trPr>
          <w:jc w:val="center"/>
        </w:trPr>
        <w:tc>
          <w:tcPr>
            <w:tcW w:w="0" w:type="auto"/>
            <w:shd w:val="clear" w:color="auto" w:fill="FFFFFF" w:themeFill="background1"/>
            <w:hideMark/>
          </w:tcPr>
          <w:p w14:paraId="61588AD0" w14:textId="77777777" w:rsidR="003B17E4" w:rsidRPr="0023169E" w:rsidRDefault="003B17E4" w:rsidP="00E30C95">
            <w:pPr>
              <w:pStyle w:val="CS-IBMTableText"/>
            </w:pPr>
            <w:r w:rsidRPr="0023169E">
              <w:t>System / Regression</w:t>
            </w:r>
          </w:p>
        </w:tc>
        <w:tc>
          <w:tcPr>
            <w:tcW w:w="0" w:type="auto"/>
            <w:shd w:val="clear" w:color="auto" w:fill="FFFFFF" w:themeFill="background1"/>
            <w:hideMark/>
          </w:tcPr>
          <w:p w14:paraId="1CD24141" w14:textId="77777777" w:rsidR="003B17E4" w:rsidRPr="0023169E" w:rsidRDefault="003B17E4" w:rsidP="00E30C95">
            <w:pPr>
              <w:pStyle w:val="CS-IBMTableText"/>
            </w:pPr>
            <w:r w:rsidRPr="0023169E">
              <w:t>Confirm functionality + backward compatibility</w:t>
            </w:r>
          </w:p>
        </w:tc>
      </w:tr>
      <w:tr w:rsidR="00D30492" w:rsidRPr="0023169E" w14:paraId="6CE32917" w14:textId="77777777" w:rsidTr="00E30C95">
        <w:trPr>
          <w:jc w:val="center"/>
        </w:trPr>
        <w:tc>
          <w:tcPr>
            <w:tcW w:w="0" w:type="auto"/>
            <w:shd w:val="clear" w:color="auto" w:fill="FFFFFF" w:themeFill="background1"/>
            <w:hideMark/>
          </w:tcPr>
          <w:p w14:paraId="23AA3C07" w14:textId="77777777" w:rsidR="003B17E4" w:rsidRPr="0023169E" w:rsidRDefault="003B17E4" w:rsidP="00E30C95">
            <w:pPr>
              <w:pStyle w:val="CS-IBMTableText"/>
            </w:pPr>
            <w:r w:rsidRPr="0023169E">
              <w:t>Batch</w:t>
            </w:r>
          </w:p>
        </w:tc>
        <w:tc>
          <w:tcPr>
            <w:tcW w:w="0" w:type="auto"/>
            <w:shd w:val="clear" w:color="auto" w:fill="FFFFFF" w:themeFill="background1"/>
            <w:hideMark/>
          </w:tcPr>
          <w:p w14:paraId="54CD8E91" w14:textId="77777777" w:rsidR="003B17E4" w:rsidRPr="0023169E" w:rsidRDefault="003B17E4" w:rsidP="00E30C95">
            <w:pPr>
              <w:pStyle w:val="CS-IBMTableText"/>
            </w:pPr>
            <w:r w:rsidRPr="0023169E">
              <w:t>Validate eligibility recalculations, benefits issuance</w:t>
            </w:r>
          </w:p>
        </w:tc>
      </w:tr>
      <w:tr w:rsidR="00D30492" w:rsidRPr="0023169E" w14:paraId="6BF91C32" w14:textId="77777777" w:rsidTr="00E30C95">
        <w:trPr>
          <w:jc w:val="center"/>
        </w:trPr>
        <w:tc>
          <w:tcPr>
            <w:tcW w:w="0" w:type="auto"/>
            <w:shd w:val="clear" w:color="auto" w:fill="FFFFFF" w:themeFill="background1"/>
            <w:hideMark/>
          </w:tcPr>
          <w:p w14:paraId="61AC3E15" w14:textId="77777777" w:rsidR="003B17E4" w:rsidRPr="0023169E" w:rsidRDefault="003B17E4" w:rsidP="00E30C95">
            <w:pPr>
              <w:pStyle w:val="CS-IBMTableText"/>
            </w:pPr>
            <w:r w:rsidRPr="0023169E">
              <w:t>API</w:t>
            </w:r>
          </w:p>
        </w:tc>
        <w:tc>
          <w:tcPr>
            <w:tcW w:w="0" w:type="auto"/>
            <w:shd w:val="clear" w:color="auto" w:fill="FFFFFF" w:themeFill="background1"/>
            <w:hideMark/>
          </w:tcPr>
          <w:p w14:paraId="27D686AB" w14:textId="77777777" w:rsidR="003B17E4" w:rsidRPr="0023169E" w:rsidRDefault="003B17E4" w:rsidP="00E30C95">
            <w:pPr>
              <w:pStyle w:val="CS-IBMTableText"/>
            </w:pPr>
            <w:r w:rsidRPr="0023169E">
              <w:t>Postman, REST Assured, IBM no-code frameworks</w:t>
            </w:r>
          </w:p>
        </w:tc>
      </w:tr>
      <w:tr w:rsidR="00D30492" w:rsidRPr="0023169E" w14:paraId="0B3AE372" w14:textId="77777777" w:rsidTr="00E30C95">
        <w:trPr>
          <w:jc w:val="center"/>
        </w:trPr>
        <w:tc>
          <w:tcPr>
            <w:tcW w:w="0" w:type="auto"/>
            <w:shd w:val="clear" w:color="auto" w:fill="FFFFFF" w:themeFill="background1"/>
            <w:hideMark/>
          </w:tcPr>
          <w:p w14:paraId="4EBB8E58" w14:textId="77777777" w:rsidR="003B17E4" w:rsidRPr="0023169E" w:rsidRDefault="003B17E4" w:rsidP="00E30C95">
            <w:pPr>
              <w:pStyle w:val="CS-IBMTableText"/>
            </w:pPr>
            <w:r w:rsidRPr="0023169E">
              <w:t>Section 508</w:t>
            </w:r>
          </w:p>
        </w:tc>
        <w:tc>
          <w:tcPr>
            <w:tcW w:w="0" w:type="auto"/>
            <w:shd w:val="clear" w:color="auto" w:fill="FFFFFF" w:themeFill="background1"/>
            <w:hideMark/>
          </w:tcPr>
          <w:p w14:paraId="0C509A44" w14:textId="77777777" w:rsidR="003B17E4" w:rsidRPr="0023169E" w:rsidRDefault="003B17E4" w:rsidP="00E30C95">
            <w:pPr>
              <w:pStyle w:val="CS-IBMTableText"/>
            </w:pPr>
            <w:r w:rsidRPr="0023169E">
              <w:t>Automated + manual accessibility validation</w:t>
            </w:r>
          </w:p>
        </w:tc>
      </w:tr>
      <w:tr w:rsidR="00D30492" w:rsidRPr="0023169E" w14:paraId="7D54CE89" w14:textId="77777777" w:rsidTr="00E30C95">
        <w:trPr>
          <w:jc w:val="center"/>
        </w:trPr>
        <w:tc>
          <w:tcPr>
            <w:tcW w:w="0" w:type="auto"/>
            <w:shd w:val="clear" w:color="auto" w:fill="FFFFFF" w:themeFill="background1"/>
            <w:hideMark/>
          </w:tcPr>
          <w:p w14:paraId="6D343D7D" w14:textId="77777777" w:rsidR="003B17E4" w:rsidRPr="0023169E" w:rsidRDefault="003B17E4" w:rsidP="00E30C95">
            <w:pPr>
              <w:pStyle w:val="CS-IBMTableText"/>
            </w:pPr>
            <w:r w:rsidRPr="0023169E">
              <w:t>Automation</w:t>
            </w:r>
          </w:p>
        </w:tc>
        <w:tc>
          <w:tcPr>
            <w:tcW w:w="0" w:type="auto"/>
            <w:shd w:val="clear" w:color="auto" w:fill="FFFFFF" w:themeFill="background1"/>
            <w:hideMark/>
          </w:tcPr>
          <w:p w14:paraId="0827E3A4" w14:textId="77777777" w:rsidR="003B17E4" w:rsidRPr="0023169E" w:rsidRDefault="003B17E4" w:rsidP="00E30C95">
            <w:pPr>
              <w:pStyle w:val="CS-IBMTableText"/>
            </w:pPr>
            <w:r w:rsidRPr="0023169E">
              <w:t>Selenium, Appium, IQP Plus self-healing scripts</w:t>
            </w:r>
          </w:p>
        </w:tc>
      </w:tr>
    </w:tbl>
    <w:p w14:paraId="7E412CAE" w14:textId="77777777" w:rsidR="00B64AA1" w:rsidRDefault="00B64AA1" w:rsidP="003B17E4">
      <w:pPr>
        <w:pStyle w:val="CS-IBMResponseText"/>
        <w:rPr>
          <w:b/>
          <w:bCs/>
        </w:rPr>
      </w:pPr>
    </w:p>
    <w:p w14:paraId="3984544F" w14:textId="1B8EBB3B" w:rsidR="003B17E4" w:rsidRDefault="003B17E4" w:rsidP="003B17E4">
      <w:pPr>
        <w:pStyle w:val="CS-IBMResponseText"/>
        <w:rPr>
          <w:i/>
          <w:iCs/>
        </w:rPr>
      </w:pPr>
      <w:r w:rsidRPr="00B10941">
        <w:rPr>
          <w:b/>
          <w:bCs/>
        </w:rPr>
        <w:t xml:space="preserve">Traceability and Transparency </w:t>
      </w:r>
    </w:p>
    <w:p w14:paraId="24A31BF7" w14:textId="77777777" w:rsidR="003B17E4" w:rsidRPr="0023169E" w:rsidRDefault="003B17E4" w:rsidP="003B17E4">
      <w:pPr>
        <w:pStyle w:val="CS-IBMResponseText"/>
      </w:pPr>
      <w:r w:rsidRPr="0023169E">
        <w:t>All test cases maintain full bidirectional traceability in JIRA/JTM and are reflected in QA Metrics (D-QA-04) with coverage, status, and results.</w:t>
      </w:r>
    </w:p>
    <w:p w14:paraId="20748E3A" w14:textId="77777777" w:rsidR="003B17E4" w:rsidRPr="00B10941" w:rsidRDefault="003B17E4" w:rsidP="003B17E4">
      <w:pPr>
        <w:pStyle w:val="CS-IBMResponseText"/>
        <w:rPr>
          <w:b/>
          <w:bCs/>
        </w:rPr>
      </w:pPr>
      <w:r w:rsidRPr="00B10941">
        <w:rPr>
          <w:b/>
          <w:bCs/>
        </w:rPr>
        <w:t>Establishing the Requisite Test Data</w:t>
      </w:r>
    </w:p>
    <w:p w14:paraId="1A604FCA" w14:textId="77777777" w:rsidR="003B17E4" w:rsidRPr="0023169E" w:rsidRDefault="003B17E4" w:rsidP="003B17E4">
      <w:pPr>
        <w:pStyle w:val="CS-IBMResponseText"/>
      </w:pPr>
      <w:r w:rsidRPr="0023169E">
        <w:t>A robust, reusable, and compliant Test Data Management (TDM) capability is essential to the success of the initial independent test cases. IBM combines AI-driven synthetic data generation, production-like masked datasets, and strict governance controls to meet CalSAWS’ requirements while maintaining data privacy and test repeatability.</w:t>
      </w:r>
    </w:p>
    <w:p w14:paraId="7BE1C854" w14:textId="77777777" w:rsidR="003B17E4" w:rsidRPr="00B10941" w:rsidRDefault="003B17E4" w:rsidP="003B17E4">
      <w:pPr>
        <w:pStyle w:val="CS-IBMResponseText"/>
        <w:rPr>
          <w:b/>
          <w:bCs/>
        </w:rPr>
      </w:pPr>
      <w:r w:rsidRPr="00B10941">
        <w:rPr>
          <w:b/>
          <w:bCs/>
        </w:rPr>
        <w:t>AI-Driven Synthetic Data Generation</w:t>
      </w:r>
    </w:p>
    <w:p w14:paraId="134F0442" w14:textId="77777777" w:rsidR="00174FFC" w:rsidRPr="00D02504" w:rsidRDefault="00174FFC" w:rsidP="00174FFC">
      <w:pPr>
        <w:spacing w:before="0" w:after="0"/>
      </w:pPr>
      <w:r w:rsidRPr="00D02504">
        <w:t xml:space="preserve">IBM’s </w:t>
      </w:r>
      <w:r w:rsidRPr="00D02504">
        <w:rPr>
          <w:b/>
          <w:bCs/>
        </w:rPr>
        <w:t>GenAI Test Data Generator</w:t>
      </w:r>
      <w:r w:rsidRPr="00D02504">
        <w:t xml:space="preserve"> (integrated into IQP Plus) creates realistic, policy-aware data that mirrors CalSAWS’ operational scenarios. This approach ensures comprehensive testing across Medi-Cal, CalFresh, CalWORKs, Refugee Cash Assistance, and related programs.</w:t>
      </w:r>
      <w:r w:rsidRPr="00D02504">
        <w:br/>
      </w:r>
      <w:r w:rsidRPr="00D02504">
        <w:rPr>
          <w:b/>
          <w:bCs/>
        </w:rPr>
        <w:t>Benefits include:</w:t>
      </w:r>
    </w:p>
    <w:p w14:paraId="59630B4D" w14:textId="77777777" w:rsidR="00174FFC" w:rsidRPr="00D02504" w:rsidRDefault="00174FFC" w:rsidP="00CF7600">
      <w:pPr>
        <w:numPr>
          <w:ilvl w:val="0"/>
          <w:numId w:val="49"/>
        </w:numPr>
        <w:spacing w:before="0" w:after="0"/>
      </w:pPr>
      <w:r w:rsidRPr="00D02504">
        <w:t>Matches real production patterns and edge cases</w:t>
      </w:r>
    </w:p>
    <w:p w14:paraId="47B57312" w14:textId="77777777" w:rsidR="00174FFC" w:rsidRPr="00D02504" w:rsidRDefault="00174FFC" w:rsidP="00CF7600">
      <w:pPr>
        <w:numPr>
          <w:ilvl w:val="0"/>
          <w:numId w:val="49"/>
        </w:numPr>
        <w:spacing w:before="0" w:after="0"/>
      </w:pPr>
      <w:r w:rsidRPr="00D02504">
        <w:t>Preserves business logic and benefit thresholds</w:t>
      </w:r>
    </w:p>
    <w:p w14:paraId="170C5B2C" w14:textId="77777777" w:rsidR="00174FFC" w:rsidRPr="00D02504" w:rsidRDefault="00174FFC" w:rsidP="00CF7600">
      <w:pPr>
        <w:numPr>
          <w:ilvl w:val="0"/>
          <w:numId w:val="49"/>
        </w:numPr>
        <w:spacing w:before="0" w:after="0"/>
      </w:pPr>
      <w:r w:rsidRPr="00D02504">
        <w:t>Eliminates exposure of sensitive citizen data</w:t>
      </w:r>
    </w:p>
    <w:p w14:paraId="50127476" w14:textId="77777777" w:rsidR="00174FFC" w:rsidRPr="00D02504" w:rsidRDefault="00174FFC" w:rsidP="00CF7600">
      <w:pPr>
        <w:numPr>
          <w:ilvl w:val="0"/>
          <w:numId w:val="49"/>
        </w:numPr>
        <w:spacing w:before="0" w:after="0"/>
      </w:pPr>
      <w:r w:rsidRPr="00D02504">
        <w:t>Generates data at scale for complex scenarios (e.g., income changes, renewals, multi-program eligibility)</w:t>
      </w:r>
    </w:p>
    <w:p w14:paraId="6F0AA5A9" w14:textId="77777777" w:rsidR="00174FFC" w:rsidRPr="00D02504" w:rsidRDefault="00174FFC" w:rsidP="00174FFC">
      <w:pPr>
        <w:spacing w:before="0" w:after="0"/>
      </w:pPr>
      <w:r w:rsidRPr="00D02504">
        <w:rPr>
          <w:b/>
          <w:bCs/>
        </w:rPr>
        <w:t>Outcome:</w:t>
      </w:r>
      <w:r w:rsidRPr="00D02504">
        <w:t xml:space="preserve"> Independent testing can begin immediately—without dependency on production data refresh cycles—ensuring efficiency and speed.</w:t>
      </w:r>
    </w:p>
    <w:p w14:paraId="6B7A43B0" w14:textId="1C7B7472" w:rsidR="003B17E4" w:rsidRPr="0023169E" w:rsidRDefault="003B17E4" w:rsidP="003B17E4">
      <w:pPr>
        <w:pStyle w:val="CS-IBMResponseText"/>
      </w:pPr>
    </w:p>
    <w:p w14:paraId="312AEE90" w14:textId="13CB8D25" w:rsidR="003B17E4" w:rsidRPr="00B10941" w:rsidRDefault="003B17E4" w:rsidP="003B17E4">
      <w:pPr>
        <w:pStyle w:val="CS-IBMResponseText"/>
        <w:rPr>
          <w:i/>
          <w:iCs/>
        </w:rPr>
      </w:pPr>
      <w:r w:rsidRPr="00B10941">
        <w:rPr>
          <w:b/>
          <w:bCs/>
        </w:rPr>
        <w:t xml:space="preserve">Production-Like Data Collaboration with </w:t>
      </w:r>
      <w:r w:rsidR="0078610D">
        <w:rPr>
          <w:b/>
          <w:bCs/>
        </w:rPr>
        <w:t>Incumbent CalSAWS Vendors</w:t>
      </w:r>
      <w:r w:rsidR="0078610D" w:rsidRPr="00B10941">
        <w:rPr>
          <w:b/>
          <w:bCs/>
          <w:i/>
          <w:iCs/>
        </w:rPr>
        <w:t xml:space="preserve"> </w:t>
      </w:r>
    </w:p>
    <w:p w14:paraId="570EE99F" w14:textId="3568CE06" w:rsidR="003B17E4" w:rsidRPr="0023169E" w:rsidRDefault="003B17E4" w:rsidP="003B17E4">
      <w:pPr>
        <w:pStyle w:val="CS-IBMResponseText"/>
      </w:pPr>
      <w:r w:rsidRPr="0023169E">
        <w:t xml:space="preserve">For integration and end-to-end testing requiring realistic datasets, IBM will coordinate with </w:t>
      </w:r>
      <w:r w:rsidR="00FA2E2D">
        <w:t xml:space="preserve">the incumbent CalSAWS </w:t>
      </w:r>
      <w:r w:rsidR="00130FBD">
        <w:t xml:space="preserve">partner </w:t>
      </w:r>
      <w:r w:rsidR="00FA2E2D">
        <w:t>vendors</w:t>
      </w:r>
      <w:r w:rsidR="00130FBD">
        <w:t xml:space="preserve">: </w:t>
      </w:r>
      <w:r w:rsidR="00130FBD" w:rsidRPr="00D02504">
        <w:t>Deloitte (CalSAWS</w:t>
      </w:r>
      <w:r w:rsidR="0089470D">
        <w:t xml:space="preserve"> and BenefitsCal</w:t>
      </w:r>
      <w:r w:rsidR="00130FBD" w:rsidRPr="00D02504">
        <w:t>)</w:t>
      </w:r>
      <w:r w:rsidR="0089470D">
        <w:t xml:space="preserve"> and</w:t>
      </w:r>
      <w:r w:rsidR="00130FBD" w:rsidRPr="00D02504">
        <w:t xml:space="preserve"> Gainwell (Infrastructure) </w:t>
      </w:r>
      <w:r w:rsidRPr="0023169E">
        <w:t xml:space="preserve">to </w:t>
      </w:r>
      <w:r w:rsidR="00130FBD">
        <w:t xml:space="preserve">access </w:t>
      </w:r>
      <w:r w:rsidRPr="0023169E">
        <w:t>masked or anonymized production-like data.</w:t>
      </w:r>
    </w:p>
    <w:p w14:paraId="72255465" w14:textId="77777777" w:rsidR="003B17E4" w:rsidRPr="0023169E" w:rsidRDefault="003B17E4" w:rsidP="003B17E4">
      <w:pPr>
        <w:pStyle w:val="CS-IBMResponseText"/>
      </w:pPr>
      <w:r w:rsidRPr="0023169E">
        <w:t>IBM responsibilities:</w:t>
      </w:r>
    </w:p>
    <w:p w14:paraId="1D23AC84" w14:textId="77777777" w:rsidR="003B17E4" w:rsidRPr="0023169E" w:rsidRDefault="003B17E4" w:rsidP="003B17E4">
      <w:pPr>
        <w:pStyle w:val="CS-IBMBullet1"/>
      </w:pPr>
      <w:r w:rsidRPr="0023169E">
        <w:lastRenderedPageBreak/>
        <w:t>Validate relevance and recency of data</w:t>
      </w:r>
    </w:p>
    <w:p w14:paraId="7C9E074F" w14:textId="77777777" w:rsidR="003B17E4" w:rsidRPr="0023169E" w:rsidRDefault="003B17E4" w:rsidP="003B17E4">
      <w:pPr>
        <w:pStyle w:val="CS-IBMBullet1"/>
      </w:pPr>
      <w:r w:rsidRPr="0023169E">
        <w:t>Ensure it aligns with environment configurations</w:t>
      </w:r>
    </w:p>
    <w:p w14:paraId="558B6D37" w14:textId="77777777" w:rsidR="003B17E4" w:rsidRPr="0023169E" w:rsidRDefault="003B17E4" w:rsidP="003B17E4">
      <w:pPr>
        <w:pStyle w:val="CS-IBMBullet1"/>
      </w:pPr>
      <w:r w:rsidRPr="0023169E">
        <w:t>Create additional edge/boundary cases if needed</w:t>
      </w:r>
    </w:p>
    <w:p w14:paraId="71FEDD69" w14:textId="1790C629" w:rsidR="00D83DEA" w:rsidRPr="00734D2C" w:rsidRDefault="003B17E4" w:rsidP="003B17E4">
      <w:pPr>
        <w:pStyle w:val="CS-IBMBullet1"/>
      </w:pPr>
      <w:r w:rsidRPr="0023169E">
        <w:t>Maintain consistency across environments</w:t>
      </w:r>
    </w:p>
    <w:p w14:paraId="01732B7B" w14:textId="0113DC80" w:rsidR="003B17E4" w:rsidRPr="00DD637A" w:rsidRDefault="003B17E4" w:rsidP="003B17E4">
      <w:pPr>
        <w:pStyle w:val="CS-IBMResponseText"/>
        <w:rPr>
          <w:color w:val="0070C0"/>
          <w:sz w:val="28"/>
          <w:szCs w:val="28"/>
        </w:rPr>
      </w:pPr>
      <w:r w:rsidRPr="00DD637A">
        <w:rPr>
          <w:color w:val="0070C0"/>
          <w:sz w:val="28"/>
          <w:szCs w:val="28"/>
        </w:rPr>
        <w:t>Data Governance and Version Control</w:t>
      </w:r>
    </w:p>
    <w:p w14:paraId="535AD669" w14:textId="77777777" w:rsidR="003B17E4" w:rsidRPr="00B10941" w:rsidRDefault="003B17E4" w:rsidP="003B17E4">
      <w:pPr>
        <w:pStyle w:val="CS-IBMResponseText"/>
      </w:pPr>
      <w:r w:rsidRPr="00B10941">
        <w:t>IBM will maintain a Test Data Management Dashboard tracking:</w:t>
      </w:r>
    </w:p>
    <w:p w14:paraId="5EE06CEF" w14:textId="77777777" w:rsidR="003B17E4" w:rsidRPr="0023169E" w:rsidRDefault="003B17E4" w:rsidP="003B17E4">
      <w:pPr>
        <w:pStyle w:val="CS-IBMBullet1"/>
      </w:pPr>
      <w:r w:rsidRPr="0023169E">
        <w:t>Data versions and refresh dates</w:t>
      </w:r>
    </w:p>
    <w:p w14:paraId="62BFF127" w14:textId="77777777" w:rsidR="003B17E4" w:rsidRPr="0023169E" w:rsidRDefault="003B17E4" w:rsidP="003B17E4">
      <w:pPr>
        <w:pStyle w:val="CS-IBMBullet1"/>
      </w:pPr>
      <w:r w:rsidRPr="0023169E">
        <w:t>Source of data (synthetic vs. masked)</w:t>
      </w:r>
    </w:p>
    <w:p w14:paraId="78934752" w14:textId="77777777" w:rsidR="003B17E4" w:rsidRPr="0023169E" w:rsidRDefault="003B17E4" w:rsidP="003B17E4">
      <w:pPr>
        <w:pStyle w:val="CS-IBMBullet1"/>
      </w:pPr>
      <w:r w:rsidRPr="0023169E">
        <w:t>Environment mapping</w:t>
      </w:r>
    </w:p>
    <w:p w14:paraId="4524130B" w14:textId="77777777" w:rsidR="003B17E4" w:rsidRPr="0023169E" w:rsidRDefault="003B17E4" w:rsidP="003B17E4">
      <w:pPr>
        <w:pStyle w:val="CS-IBMBullet1"/>
      </w:pPr>
      <w:r w:rsidRPr="0023169E">
        <w:t>Ownership and approval status</w:t>
      </w:r>
    </w:p>
    <w:p w14:paraId="13FB6963" w14:textId="77777777" w:rsidR="003B17E4" w:rsidRPr="0023169E" w:rsidRDefault="003B17E4" w:rsidP="003B17E4">
      <w:pPr>
        <w:pStyle w:val="CS-IBMBullet1"/>
      </w:pPr>
      <w:r w:rsidRPr="0023169E">
        <w:t>Reuse potential across cycles</w:t>
      </w:r>
    </w:p>
    <w:p w14:paraId="42A603EE" w14:textId="515B34C2" w:rsidR="00D83DEA" w:rsidRPr="001314E1" w:rsidRDefault="003B17E4" w:rsidP="003B17E4">
      <w:pPr>
        <w:pStyle w:val="CS-IBMResponseText"/>
      </w:pPr>
      <w:r w:rsidRPr="0023169E">
        <w:t>All data handling will comply with CalSAWS policies and will be documented in the Quality Assurance Plan (D-QA-01) and tracked through QA Status Reports (D-QA-03).</w:t>
      </w:r>
    </w:p>
    <w:p w14:paraId="2E28592E" w14:textId="6239134B" w:rsidR="003B17E4" w:rsidRPr="00DD637A" w:rsidRDefault="003B17E4" w:rsidP="003B17E4">
      <w:pPr>
        <w:pStyle w:val="CS-IBMResponseText"/>
        <w:rPr>
          <w:color w:val="0070C0"/>
          <w:sz w:val="28"/>
          <w:szCs w:val="28"/>
        </w:rPr>
      </w:pPr>
      <w:r w:rsidRPr="00DD637A">
        <w:rPr>
          <w:color w:val="0070C0"/>
          <w:sz w:val="28"/>
          <w:szCs w:val="28"/>
        </w:rPr>
        <w:t>Tools and Automation Framework: IQP Plus Integration</w:t>
      </w:r>
    </w:p>
    <w:p w14:paraId="4E0FF7F4" w14:textId="25209941" w:rsidR="003B17E4" w:rsidRPr="0023169E" w:rsidRDefault="003B17E4" w:rsidP="003B17E4">
      <w:pPr>
        <w:pStyle w:val="CS-IBMResponseText"/>
      </w:pPr>
      <w:r w:rsidRPr="0023169E">
        <w:t>IBM</w:t>
      </w:r>
      <w:r w:rsidR="00EB6C4A">
        <w:t xml:space="preserve"> IGNITE</w:t>
      </w:r>
      <w:r w:rsidRPr="0023169E">
        <w:t xml:space="preserve"> </w:t>
      </w:r>
      <w:r w:rsidR="005E0E13">
        <w:t>Q</w:t>
      </w:r>
      <w:r w:rsidR="005E0E13" w:rsidRPr="0023169E">
        <w:t>uality</w:t>
      </w:r>
      <w:r w:rsidRPr="0023169E">
        <w:t xml:space="preserve"> Platform (IQP Plus) is our GenAI-powered QA platform that enhances test case creation, optimization, automation, and data management — and integrates seamlessly with CalSAWS tools.</w:t>
      </w:r>
    </w:p>
    <w:p w14:paraId="55A833F1" w14:textId="72EDC7D8" w:rsidR="003B17E4" w:rsidRPr="00F6328B" w:rsidRDefault="003B17E4" w:rsidP="003B17E4">
      <w:pPr>
        <w:pStyle w:val="CS-IBMResponseText"/>
        <w:rPr>
          <w:b/>
          <w:bCs/>
        </w:rPr>
      </w:pPr>
      <w:r w:rsidRPr="00F6328B">
        <w:rPr>
          <w:b/>
          <w:bCs/>
        </w:rPr>
        <w:t>Why IQP Plus</w:t>
      </w:r>
      <w:r w:rsidR="00417F2D">
        <w:rPr>
          <w:b/>
          <w:bCs/>
        </w:rPr>
        <w:t xml:space="preserve"> is vital for CalSAWS:</w:t>
      </w:r>
    </w:p>
    <w:p w14:paraId="30DD7866" w14:textId="77777777" w:rsidR="003B17E4" w:rsidRPr="0023169E" w:rsidRDefault="003B17E4" w:rsidP="003B17E4">
      <w:pPr>
        <w:pStyle w:val="CS-IBMBullet1"/>
      </w:pPr>
      <w:r w:rsidRPr="0023169E">
        <w:t>Accelerates initial test creation and rationalization</w:t>
      </w:r>
    </w:p>
    <w:p w14:paraId="3B609E59" w14:textId="77777777" w:rsidR="003B17E4" w:rsidRPr="0023169E" w:rsidRDefault="003B17E4" w:rsidP="003B17E4">
      <w:pPr>
        <w:pStyle w:val="CS-IBMBullet1"/>
      </w:pPr>
      <w:r w:rsidRPr="0023169E">
        <w:t>Reduces maintenance effort via self-healing automation</w:t>
      </w:r>
    </w:p>
    <w:p w14:paraId="04A78624" w14:textId="77777777" w:rsidR="003B17E4" w:rsidRPr="0023169E" w:rsidRDefault="003B17E4" w:rsidP="003B17E4">
      <w:pPr>
        <w:pStyle w:val="CS-IBMBullet1"/>
      </w:pPr>
      <w:r w:rsidRPr="0023169E">
        <w:t>Provides predictive analytics and AI insights</w:t>
      </w:r>
    </w:p>
    <w:p w14:paraId="29D1C355" w14:textId="77777777" w:rsidR="003B17E4" w:rsidRPr="0023169E" w:rsidRDefault="003B17E4" w:rsidP="003B17E4">
      <w:pPr>
        <w:pStyle w:val="CS-IBMBullet1"/>
      </w:pPr>
      <w:r w:rsidRPr="0023169E">
        <w:t>Eliminates redundancy in test cases</w:t>
      </w:r>
    </w:p>
    <w:p w14:paraId="65C0C578" w14:textId="0413B723" w:rsidR="00584808" w:rsidRDefault="003B17E4" w:rsidP="00B45612">
      <w:pPr>
        <w:pStyle w:val="CS-IBMBullet1"/>
      </w:pPr>
      <w:r w:rsidRPr="0023169E">
        <w:t>Improves traceability and quality visibility</w:t>
      </w:r>
    </w:p>
    <w:p w14:paraId="6F3E7F11" w14:textId="77777777" w:rsidR="003B17E4" w:rsidRPr="00F6328B" w:rsidRDefault="003B17E4" w:rsidP="003B17E4">
      <w:pPr>
        <w:pStyle w:val="CS-IBMResponseText"/>
        <w:rPr>
          <w:b/>
          <w:bCs/>
        </w:rPr>
      </w:pPr>
      <w:r w:rsidRPr="00F6328B">
        <w:rPr>
          <w:b/>
          <w:bCs/>
        </w:rPr>
        <w:t>Key Capabilities</w:t>
      </w:r>
    </w:p>
    <w:p w14:paraId="28E4DBA6" w14:textId="69560916" w:rsidR="00C04C72" w:rsidRDefault="00C04C72" w:rsidP="00C04C72">
      <w:pPr>
        <w:pStyle w:val="Caption"/>
        <w:keepNext/>
        <w:jc w:val="center"/>
      </w:pPr>
      <w:bookmarkStart w:id="76" w:name="_Toc213069577"/>
      <w:r>
        <w:t xml:space="preserve">Table 4.4.1. </w:t>
      </w:r>
      <w:r>
        <w:fldChar w:fldCharType="begin"/>
      </w:r>
      <w:r>
        <w:instrText xml:space="preserve"> SEQ Table_4.4.1. \* ARABIC </w:instrText>
      </w:r>
      <w:r>
        <w:fldChar w:fldCharType="separate"/>
      </w:r>
      <w:r>
        <w:rPr>
          <w:noProof/>
        </w:rPr>
        <w:t>3</w:t>
      </w:r>
      <w:r>
        <w:fldChar w:fldCharType="end"/>
      </w:r>
      <w:r>
        <w:t xml:space="preserve"> Key Testing Capabilities</w:t>
      </w:r>
      <w:bookmarkEnd w:id="76"/>
    </w:p>
    <w:tbl>
      <w:tblPr>
        <w:tblStyle w:val="TableGrid"/>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7"/>
        <w:gridCol w:w="5818"/>
      </w:tblGrid>
      <w:tr w:rsidR="00A43C91" w:rsidRPr="0023169E" w14:paraId="7E5CFC0A" w14:textId="77777777" w:rsidTr="00E30C95">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0070C0"/>
            <w:hideMark/>
          </w:tcPr>
          <w:p w14:paraId="58478524" w14:textId="77777777" w:rsidR="003B17E4" w:rsidRPr="0023169E" w:rsidRDefault="003B17E4" w:rsidP="00E30C95">
            <w:pPr>
              <w:pStyle w:val="CS-IBMTableColumnHeader"/>
              <w:jc w:val="left"/>
            </w:pPr>
            <w:r w:rsidRPr="0023169E">
              <w:t>Capability</w:t>
            </w:r>
          </w:p>
        </w:tc>
        <w:tc>
          <w:tcPr>
            <w:tcW w:w="0" w:type="auto"/>
            <w:shd w:val="clear" w:color="auto" w:fill="0070C0"/>
            <w:hideMark/>
          </w:tcPr>
          <w:p w14:paraId="4ACB8FEB" w14:textId="77777777" w:rsidR="003B17E4" w:rsidRPr="0023169E" w:rsidRDefault="003B17E4" w:rsidP="00E30C95">
            <w:pPr>
              <w:pStyle w:val="CS-IBMTableColumnHeader"/>
              <w:jc w:val="left"/>
            </w:pPr>
            <w:r w:rsidRPr="0023169E">
              <w:t>How It Supports CalSAWS</w:t>
            </w:r>
          </w:p>
        </w:tc>
      </w:tr>
      <w:tr w:rsidR="00D30492" w:rsidRPr="0023169E" w14:paraId="124F3A6D" w14:textId="77777777" w:rsidTr="00E30C95">
        <w:tc>
          <w:tcPr>
            <w:tcW w:w="0" w:type="auto"/>
            <w:shd w:val="clear" w:color="auto" w:fill="FFFFFF" w:themeFill="background1"/>
            <w:hideMark/>
          </w:tcPr>
          <w:p w14:paraId="503E0B63" w14:textId="77777777" w:rsidR="003B17E4" w:rsidRPr="0023169E" w:rsidRDefault="003B17E4" w:rsidP="001D58E7">
            <w:pPr>
              <w:pStyle w:val="CS-IBMTableText"/>
            </w:pPr>
            <w:r w:rsidRPr="0023169E">
              <w:t>Plain Language Test Design</w:t>
            </w:r>
          </w:p>
        </w:tc>
        <w:tc>
          <w:tcPr>
            <w:tcW w:w="0" w:type="auto"/>
            <w:shd w:val="clear" w:color="auto" w:fill="FFFFFF" w:themeFill="background1"/>
            <w:hideMark/>
          </w:tcPr>
          <w:p w14:paraId="7747A343" w14:textId="77777777" w:rsidR="003B17E4" w:rsidRPr="0023169E" w:rsidRDefault="003B17E4" w:rsidP="001D58E7">
            <w:pPr>
              <w:pStyle w:val="CS-IBMTableText"/>
            </w:pPr>
            <w:r w:rsidRPr="0023169E">
              <w:t>Gherkin syntax for readability across business and QA</w:t>
            </w:r>
          </w:p>
        </w:tc>
      </w:tr>
      <w:tr w:rsidR="00D30492" w:rsidRPr="0023169E" w14:paraId="6D2D580D" w14:textId="77777777" w:rsidTr="00E30C95">
        <w:tc>
          <w:tcPr>
            <w:tcW w:w="0" w:type="auto"/>
            <w:shd w:val="clear" w:color="auto" w:fill="FFFFFF" w:themeFill="background1"/>
            <w:hideMark/>
          </w:tcPr>
          <w:p w14:paraId="04812F75" w14:textId="77777777" w:rsidR="003B17E4" w:rsidRPr="0023169E" w:rsidRDefault="003B17E4" w:rsidP="001D58E7">
            <w:pPr>
              <w:pStyle w:val="CS-IBMTableText"/>
            </w:pPr>
            <w:r w:rsidRPr="0023169E">
              <w:t>Model-Based Test Generation</w:t>
            </w:r>
          </w:p>
        </w:tc>
        <w:tc>
          <w:tcPr>
            <w:tcW w:w="0" w:type="auto"/>
            <w:shd w:val="clear" w:color="auto" w:fill="FFFFFF" w:themeFill="background1"/>
            <w:hideMark/>
          </w:tcPr>
          <w:p w14:paraId="6B065665" w14:textId="77777777" w:rsidR="003B17E4" w:rsidRPr="0023169E" w:rsidRDefault="003B17E4" w:rsidP="001D58E7">
            <w:pPr>
              <w:pStyle w:val="CS-IBMTableText"/>
            </w:pPr>
            <w:r w:rsidRPr="0023169E">
              <w:t>Auto-creates optimized test sets</w:t>
            </w:r>
          </w:p>
        </w:tc>
      </w:tr>
      <w:tr w:rsidR="00D30492" w:rsidRPr="0023169E" w14:paraId="6D9E59FB" w14:textId="77777777" w:rsidTr="00E30C95">
        <w:tc>
          <w:tcPr>
            <w:tcW w:w="0" w:type="auto"/>
            <w:shd w:val="clear" w:color="auto" w:fill="FFFFFF" w:themeFill="background1"/>
            <w:hideMark/>
          </w:tcPr>
          <w:p w14:paraId="7F97D232" w14:textId="77777777" w:rsidR="003B17E4" w:rsidRPr="0023169E" w:rsidRDefault="003B17E4" w:rsidP="001D58E7">
            <w:pPr>
              <w:pStyle w:val="CS-IBMTableText"/>
            </w:pPr>
            <w:r w:rsidRPr="0023169E">
              <w:t>Self-Healing Automation</w:t>
            </w:r>
          </w:p>
        </w:tc>
        <w:tc>
          <w:tcPr>
            <w:tcW w:w="0" w:type="auto"/>
            <w:shd w:val="clear" w:color="auto" w:fill="FFFFFF" w:themeFill="background1"/>
            <w:hideMark/>
          </w:tcPr>
          <w:p w14:paraId="7E67C285" w14:textId="77777777" w:rsidR="003B17E4" w:rsidRPr="0023169E" w:rsidRDefault="003B17E4" w:rsidP="001D58E7">
            <w:pPr>
              <w:pStyle w:val="CS-IBMTableText"/>
            </w:pPr>
            <w:r w:rsidRPr="0023169E">
              <w:t>Adapts to UI changes, 30–40% maintenance reduction</w:t>
            </w:r>
          </w:p>
        </w:tc>
      </w:tr>
      <w:tr w:rsidR="00D30492" w:rsidRPr="0023169E" w14:paraId="0C00B0B3" w14:textId="77777777" w:rsidTr="00E30C95">
        <w:tc>
          <w:tcPr>
            <w:tcW w:w="0" w:type="auto"/>
            <w:shd w:val="clear" w:color="auto" w:fill="FFFFFF" w:themeFill="background1"/>
            <w:hideMark/>
          </w:tcPr>
          <w:p w14:paraId="6EEEE126" w14:textId="77777777" w:rsidR="003B17E4" w:rsidRPr="0023169E" w:rsidRDefault="003B17E4" w:rsidP="001D58E7">
            <w:pPr>
              <w:pStyle w:val="CS-IBMTableText"/>
            </w:pPr>
            <w:r w:rsidRPr="0023169E">
              <w:t>AI-Driven Test Data</w:t>
            </w:r>
          </w:p>
        </w:tc>
        <w:tc>
          <w:tcPr>
            <w:tcW w:w="0" w:type="auto"/>
            <w:shd w:val="clear" w:color="auto" w:fill="FFFFFF" w:themeFill="background1"/>
            <w:hideMark/>
          </w:tcPr>
          <w:p w14:paraId="5D406F75" w14:textId="77777777" w:rsidR="003B17E4" w:rsidRPr="0023169E" w:rsidRDefault="003B17E4" w:rsidP="001D58E7">
            <w:pPr>
              <w:pStyle w:val="CS-IBMTableText"/>
            </w:pPr>
            <w:r w:rsidRPr="0023169E">
              <w:t>Generates, masks, and maintains data automatically</w:t>
            </w:r>
          </w:p>
        </w:tc>
      </w:tr>
      <w:tr w:rsidR="00D30492" w:rsidRPr="0023169E" w14:paraId="6AEA19BF" w14:textId="77777777" w:rsidTr="00E30C95">
        <w:tc>
          <w:tcPr>
            <w:tcW w:w="0" w:type="auto"/>
            <w:shd w:val="clear" w:color="auto" w:fill="FFFFFF" w:themeFill="background1"/>
            <w:hideMark/>
          </w:tcPr>
          <w:p w14:paraId="11878AA9" w14:textId="77777777" w:rsidR="003B17E4" w:rsidRPr="0023169E" w:rsidRDefault="003B17E4" w:rsidP="001D58E7">
            <w:pPr>
              <w:pStyle w:val="CS-IBMTableText"/>
            </w:pPr>
            <w:r w:rsidRPr="0023169E">
              <w:t>CI/CD Integration</w:t>
            </w:r>
          </w:p>
        </w:tc>
        <w:tc>
          <w:tcPr>
            <w:tcW w:w="0" w:type="auto"/>
            <w:shd w:val="clear" w:color="auto" w:fill="FFFFFF" w:themeFill="background1"/>
            <w:hideMark/>
          </w:tcPr>
          <w:p w14:paraId="17DF41C0" w14:textId="77777777" w:rsidR="003B17E4" w:rsidRPr="0023169E" w:rsidRDefault="003B17E4" w:rsidP="001D58E7">
            <w:pPr>
              <w:pStyle w:val="CS-IBMTableText"/>
            </w:pPr>
            <w:r w:rsidRPr="0023169E">
              <w:t>Connects to Jenkins, GitHub, AWS-native pipelines</w:t>
            </w:r>
          </w:p>
        </w:tc>
      </w:tr>
      <w:tr w:rsidR="00D30492" w:rsidRPr="0023169E" w14:paraId="72F09422" w14:textId="77777777" w:rsidTr="00E30C95">
        <w:tc>
          <w:tcPr>
            <w:tcW w:w="0" w:type="auto"/>
            <w:shd w:val="clear" w:color="auto" w:fill="FFFFFF" w:themeFill="background1"/>
            <w:hideMark/>
          </w:tcPr>
          <w:p w14:paraId="31EA9AAA" w14:textId="77777777" w:rsidR="003B17E4" w:rsidRPr="0023169E" w:rsidRDefault="003B17E4" w:rsidP="001D58E7">
            <w:pPr>
              <w:pStyle w:val="CS-IBMTableText"/>
            </w:pPr>
            <w:r w:rsidRPr="0023169E">
              <w:t>Real-Time Dashboards</w:t>
            </w:r>
          </w:p>
        </w:tc>
        <w:tc>
          <w:tcPr>
            <w:tcW w:w="0" w:type="auto"/>
            <w:shd w:val="clear" w:color="auto" w:fill="FFFFFF" w:themeFill="background1"/>
            <w:hideMark/>
          </w:tcPr>
          <w:p w14:paraId="103C435A" w14:textId="77777777" w:rsidR="003B17E4" w:rsidRPr="0023169E" w:rsidRDefault="003B17E4" w:rsidP="001D58E7">
            <w:pPr>
              <w:pStyle w:val="CS-IBMTableText"/>
            </w:pPr>
            <w:r w:rsidRPr="0023169E">
              <w:t>Progress, coverage, defect trends</w:t>
            </w:r>
          </w:p>
        </w:tc>
      </w:tr>
    </w:tbl>
    <w:p w14:paraId="126FBE49" w14:textId="678B987E" w:rsidR="003B17E4" w:rsidRDefault="003B17E4" w:rsidP="003B17E4">
      <w:pPr>
        <w:pStyle w:val="CS-IBMResponseText"/>
      </w:pPr>
      <w:r w:rsidRPr="00317912">
        <w:rPr>
          <w:b/>
          <w:bCs/>
        </w:rPr>
        <w:t>Licensing Provided at No Cost</w:t>
      </w:r>
      <w:r w:rsidRPr="00317912">
        <w:rPr>
          <w:i/>
          <w:iCs/>
        </w:rPr>
        <w:t xml:space="preserve"> </w:t>
      </w:r>
    </w:p>
    <w:p w14:paraId="63E3B994" w14:textId="4885F793" w:rsidR="003B17E4" w:rsidRDefault="003B17E4" w:rsidP="003B17E4">
      <w:pPr>
        <w:pStyle w:val="CS-IBMResponseText"/>
      </w:pPr>
      <w:r w:rsidRPr="0023169E">
        <w:t xml:space="preserve">IQP Plus licenses and support will be provided at no additional cost for the duration of IBM’s </w:t>
      </w:r>
      <w:r w:rsidR="00854926">
        <w:t xml:space="preserve">CalSAWS </w:t>
      </w:r>
      <w:r w:rsidRPr="0023169E">
        <w:t>engagement.</w:t>
      </w:r>
    </w:p>
    <w:p w14:paraId="32535269" w14:textId="309DAAED" w:rsidR="003B17E4" w:rsidRPr="00986EF9" w:rsidRDefault="00986EF9" w:rsidP="001157A4">
      <w:pPr>
        <w:spacing w:before="0" w:after="0"/>
      </w:pPr>
      <w:r w:rsidRPr="00D02504">
        <w:lastRenderedPageBreak/>
        <w:t xml:space="preserve">IQP Plus integrates seamlessly with existing CalSAWS tools to create a unified, transparent QA </w:t>
      </w:r>
      <w:r w:rsidR="001157A4">
        <w:t xml:space="preserve">ecosystem </w:t>
      </w:r>
      <w:r w:rsidR="003A4FD6">
        <w:rPr>
          <w:b/>
          <w:bCs/>
        </w:rPr>
        <w:t>:</w:t>
      </w:r>
    </w:p>
    <w:p w14:paraId="659CEFC1" w14:textId="77777777" w:rsidR="003B17E4" w:rsidRPr="0023169E" w:rsidRDefault="003B17E4" w:rsidP="003B17E4">
      <w:pPr>
        <w:pStyle w:val="CS-IBMBullet1"/>
      </w:pPr>
      <w:r w:rsidRPr="00A82311">
        <w:rPr>
          <w:b/>
          <w:bCs/>
        </w:rPr>
        <w:t xml:space="preserve">JIRA/JTM </w:t>
      </w:r>
      <w:r w:rsidRPr="0023169E">
        <w:t>– requirements, test cases, traceability, reporting</w:t>
      </w:r>
    </w:p>
    <w:p w14:paraId="50A6ADA2" w14:textId="77777777" w:rsidR="003B17E4" w:rsidRPr="0023169E" w:rsidRDefault="003B17E4" w:rsidP="003B17E4">
      <w:pPr>
        <w:pStyle w:val="CS-IBMBullet1"/>
      </w:pPr>
      <w:r w:rsidRPr="00A82311">
        <w:rPr>
          <w:b/>
          <w:bCs/>
        </w:rPr>
        <w:t>Selenium &amp; Appium</w:t>
      </w:r>
      <w:r w:rsidRPr="0023169E">
        <w:t xml:space="preserve"> – web and mobile automation</w:t>
      </w:r>
    </w:p>
    <w:p w14:paraId="255FF69F" w14:textId="77777777" w:rsidR="003B17E4" w:rsidRPr="0023169E" w:rsidRDefault="003B17E4" w:rsidP="003B17E4">
      <w:pPr>
        <w:pStyle w:val="CS-IBMBullet1"/>
      </w:pPr>
      <w:r w:rsidRPr="00A82311">
        <w:rPr>
          <w:b/>
          <w:bCs/>
        </w:rPr>
        <w:t>Toad</w:t>
      </w:r>
      <w:r w:rsidRPr="0023169E">
        <w:t xml:space="preserve"> – data validation and backend queries</w:t>
      </w:r>
    </w:p>
    <w:p w14:paraId="6D84F246" w14:textId="77777777" w:rsidR="003B17E4" w:rsidRPr="0023169E" w:rsidRDefault="003B17E4" w:rsidP="003B17E4">
      <w:pPr>
        <w:pStyle w:val="CS-IBMBullet1"/>
      </w:pPr>
      <w:r w:rsidRPr="00A82311">
        <w:rPr>
          <w:b/>
          <w:bCs/>
        </w:rPr>
        <w:t xml:space="preserve">Postman / REST Assured </w:t>
      </w:r>
      <w:r w:rsidRPr="0023169E">
        <w:t>– API testing</w:t>
      </w:r>
    </w:p>
    <w:p w14:paraId="204F5055" w14:textId="77777777" w:rsidR="002223CC" w:rsidRPr="002223CC" w:rsidRDefault="003B17E4" w:rsidP="002223CC">
      <w:pPr>
        <w:pStyle w:val="CS-IBMBullet1"/>
      </w:pPr>
      <w:r w:rsidRPr="00A82311">
        <w:rPr>
          <w:b/>
          <w:bCs/>
        </w:rPr>
        <w:t xml:space="preserve">AXE / WAVE </w:t>
      </w:r>
      <w:r w:rsidRPr="0023169E">
        <w:t>– Section 508 accessibility checks</w:t>
      </w:r>
    </w:p>
    <w:p w14:paraId="115F6AE9" w14:textId="42199B9E" w:rsidR="001C3A57" w:rsidRPr="002223CC" w:rsidRDefault="002223CC" w:rsidP="002223CC">
      <w:pPr>
        <w:spacing w:before="0" w:after="0"/>
      </w:pPr>
      <w:r w:rsidRPr="00D02504">
        <w:t>All results, coverage metrics, and dashboards flow into QA Metrics and Dashboard Reports (D-QA-04) via IQP Plus.</w:t>
      </w:r>
      <w:r>
        <w:t xml:space="preserve"> </w:t>
      </w:r>
      <w:r w:rsidR="003B17E4" w:rsidRPr="0023169E">
        <w:t>4).</w:t>
      </w:r>
    </w:p>
    <w:p w14:paraId="018162B5" w14:textId="5FDD5173" w:rsidR="003B17E4" w:rsidRPr="00DD637A" w:rsidRDefault="003B17E4" w:rsidP="003B17E4">
      <w:pPr>
        <w:pStyle w:val="CS-IBMResponseText"/>
        <w:rPr>
          <w:color w:val="0070C0"/>
          <w:sz w:val="28"/>
          <w:szCs w:val="28"/>
        </w:rPr>
      </w:pPr>
      <w:r w:rsidRPr="00DD637A">
        <w:rPr>
          <w:color w:val="0070C0"/>
          <w:sz w:val="28"/>
          <w:szCs w:val="28"/>
        </w:rPr>
        <w:t>Metrics, Reporting, and Continuous Validation</w:t>
      </w:r>
    </w:p>
    <w:p w14:paraId="161B64D3" w14:textId="1445E5AB" w:rsidR="003B17E4" w:rsidRPr="00207561" w:rsidRDefault="00A801AA" w:rsidP="00C04C72">
      <w:pPr>
        <w:spacing w:before="0" w:after="0"/>
      </w:pPr>
      <w:r w:rsidRPr="00D02504">
        <w:t xml:space="preserve">IBM’s </w:t>
      </w:r>
      <w:r w:rsidRPr="00D02504">
        <w:rPr>
          <w:b/>
          <w:bCs/>
        </w:rPr>
        <w:t>Quality Metrics Framework</w:t>
      </w:r>
      <w:r w:rsidRPr="00D02504">
        <w:t xml:space="preserve"> ensures continuous visibility into QA performance. It connects directly with Consortium KPIs and IEEE QA standards to provide transparent, data-driven insight into quality progress, efficiency, and early risk detection.</w:t>
      </w:r>
    </w:p>
    <w:p w14:paraId="095F073B" w14:textId="77777777" w:rsidR="00C04C72" w:rsidRPr="00C04C72" w:rsidRDefault="00C04C72" w:rsidP="00C04C72">
      <w:pPr>
        <w:pStyle w:val="Caption"/>
      </w:pPr>
    </w:p>
    <w:p w14:paraId="51A2121E" w14:textId="22D71CAD" w:rsidR="00C04C72" w:rsidRDefault="00C04C72" w:rsidP="00C04C72">
      <w:pPr>
        <w:pStyle w:val="Caption"/>
        <w:keepNext/>
        <w:jc w:val="center"/>
      </w:pPr>
      <w:bookmarkStart w:id="77" w:name="_Toc213069578"/>
      <w:r>
        <w:t xml:space="preserve">Table 4.4.1. </w:t>
      </w:r>
      <w:r>
        <w:fldChar w:fldCharType="begin"/>
      </w:r>
      <w:r>
        <w:instrText xml:space="preserve"> SEQ Table_4.4.1. \* ARABIC </w:instrText>
      </w:r>
      <w:r>
        <w:fldChar w:fldCharType="separate"/>
      </w:r>
      <w:r>
        <w:rPr>
          <w:noProof/>
        </w:rPr>
        <w:t>4</w:t>
      </w:r>
      <w:r>
        <w:fldChar w:fldCharType="end"/>
      </w:r>
      <w:r>
        <w:t xml:space="preserve"> Key Quality Metrics</w:t>
      </w:r>
      <w:bookmarkEnd w:id="77"/>
    </w:p>
    <w:tbl>
      <w:tblPr>
        <w:tblStyle w:val="TableGrid"/>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6"/>
        <w:gridCol w:w="4035"/>
        <w:gridCol w:w="2769"/>
      </w:tblGrid>
      <w:tr w:rsidR="00A9014A" w:rsidRPr="00DB0EFD" w14:paraId="5E56915C" w14:textId="77777777" w:rsidTr="00E30C95">
        <w:trPr>
          <w:cnfStyle w:val="100000000000" w:firstRow="1" w:lastRow="0" w:firstColumn="0" w:lastColumn="0" w:oddVBand="0" w:evenVBand="0" w:oddHBand="0" w:evenHBand="0" w:firstRowFirstColumn="0" w:firstRowLastColumn="0" w:lastRowFirstColumn="0" w:lastRowLastColumn="0"/>
          <w:tblHeader/>
        </w:trPr>
        <w:tc>
          <w:tcPr>
            <w:tcW w:w="1361" w:type="pct"/>
            <w:shd w:val="clear" w:color="auto" w:fill="0070C0"/>
            <w:vAlign w:val="center"/>
            <w:hideMark/>
          </w:tcPr>
          <w:p w14:paraId="4278A5F3" w14:textId="77777777" w:rsidR="003B17E4" w:rsidRPr="00DB0EFD" w:rsidRDefault="003B17E4" w:rsidP="00E30C95">
            <w:pPr>
              <w:pStyle w:val="CS-IBMTableColumnHeader"/>
              <w:jc w:val="left"/>
            </w:pPr>
            <w:r w:rsidRPr="00DB0EFD">
              <w:t>Metric</w:t>
            </w:r>
          </w:p>
        </w:tc>
        <w:tc>
          <w:tcPr>
            <w:tcW w:w="2158" w:type="pct"/>
            <w:shd w:val="clear" w:color="auto" w:fill="0070C0"/>
            <w:vAlign w:val="center"/>
            <w:hideMark/>
          </w:tcPr>
          <w:p w14:paraId="298328D4" w14:textId="77777777" w:rsidR="003B17E4" w:rsidRPr="00DB0EFD" w:rsidRDefault="003B17E4" w:rsidP="00E30C95">
            <w:pPr>
              <w:pStyle w:val="CS-IBMTableColumnHeader"/>
              <w:jc w:val="left"/>
            </w:pPr>
            <w:r w:rsidRPr="00DB0EFD">
              <w:t>Purpose</w:t>
            </w:r>
          </w:p>
        </w:tc>
        <w:tc>
          <w:tcPr>
            <w:tcW w:w="1481" w:type="pct"/>
            <w:shd w:val="clear" w:color="auto" w:fill="0070C0"/>
            <w:vAlign w:val="center"/>
            <w:hideMark/>
          </w:tcPr>
          <w:p w14:paraId="27C226C8" w14:textId="77777777" w:rsidR="003B17E4" w:rsidRPr="00DB0EFD" w:rsidRDefault="003B17E4" w:rsidP="00E30C95">
            <w:pPr>
              <w:pStyle w:val="CS-IBMTableColumnHeader"/>
              <w:jc w:val="left"/>
            </w:pPr>
            <w:r w:rsidRPr="00DB0EFD">
              <w:t>Example Target</w:t>
            </w:r>
          </w:p>
        </w:tc>
      </w:tr>
      <w:tr w:rsidR="00A9014A" w:rsidRPr="00DB0EFD" w14:paraId="7C167ED7" w14:textId="77777777" w:rsidTr="00E30C95">
        <w:tc>
          <w:tcPr>
            <w:tcW w:w="1361" w:type="pct"/>
            <w:shd w:val="clear" w:color="auto" w:fill="FFFFFF" w:themeFill="background1"/>
            <w:vAlign w:val="center"/>
            <w:hideMark/>
          </w:tcPr>
          <w:p w14:paraId="3A1353EF" w14:textId="77777777" w:rsidR="003B17E4" w:rsidRPr="00DB0EFD" w:rsidRDefault="003B17E4" w:rsidP="001D58E7">
            <w:pPr>
              <w:pStyle w:val="CS-IBMTableText"/>
            </w:pPr>
            <w:r w:rsidRPr="00963495">
              <w:t>Requirements Coverage</w:t>
            </w:r>
          </w:p>
        </w:tc>
        <w:tc>
          <w:tcPr>
            <w:tcW w:w="2158" w:type="pct"/>
            <w:shd w:val="clear" w:color="auto" w:fill="FFFFFF" w:themeFill="background1"/>
            <w:vAlign w:val="center"/>
            <w:hideMark/>
          </w:tcPr>
          <w:p w14:paraId="1287C5AE" w14:textId="77777777" w:rsidR="003B17E4" w:rsidRPr="00DB0EFD" w:rsidRDefault="003B17E4" w:rsidP="001D58E7">
            <w:pPr>
              <w:pStyle w:val="CS-IBMTableText"/>
              <w:jc w:val="center"/>
            </w:pPr>
            <w:r w:rsidRPr="00E57E4D">
              <w:t>Completeness via RTM</w:t>
            </w:r>
          </w:p>
        </w:tc>
        <w:tc>
          <w:tcPr>
            <w:tcW w:w="1481" w:type="pct"/>
            <w:shd w:val="clear" w:color="auto" w:fill="FFFFFF" w:themeFill="background1"/>
            <w:vAlign w:val="center"/>
            <w:hideMark/>
          </w:tcPr>
          <w:p w14:paraId="7DB74D1E" w14:textId="77777777" w:rsidR="003B17E4" w:rsidRPr="00DB0EFD" w:rsidRDefault="003B17E4" w:rsidP="001D58E7">
            <w:pPr>
              <w:pStyle w:val="CS-IBMTableText"/>
              <w:jc w:val="center"/>
            </w:pPr>
            <w:r w:rsidRPr="00454030">
              <w:t>&gt;95%</w:t>
            </w:r>
          </w:p>
        </w:tc>
      </w:tr>
      <w:tr w:rsidR="00A43C91" w:rsidRPr="00DB0EFD" w14:paraId="3F5D433A" w14:textId="77777777" w:rsidTr="00E30C95">
        <w:tc>
          <w:tcPr>
            <w:tcW w:w="1361" w:type="pct"/>
            <w:shd w:val="clear" w:color="auto" w:fill="FFFFFF" w:themeFill="background1"/>
            <w:vAlign w:val="center"/>
            <w:hideMark/>
          </w:tcPr>
          <w:p w14:paraId="060D038E" w14:textId="77777777" w:rsidR="003B17E4" w:rsidRPr="00DB0EFD" w:rsidRDefault="003B17E4" w:rsidP="001D58E7">
            <w:pPr>
              <w:pStyle w:val="CS-IBMTableText"/>
            </w:pPr>
            <w:r w:rsidRPr="00963495">
              <w:t>Defect Removal Efficiency</w:t>
            </w:r>
          </w:p>
        </w:tc>
        <w:tc>
          <w:tcPr>
            <w:tcW w:w="2158" w:type="pct"/>
            <w:shd w:val="clear" w:color="auto" w:fill="FFFFFF" w:themeFill="background1"/>
            <w:vAlign w:val="center"/>
            <w:hideMark/>
          </w:tcPr>
          <w:p w14:paraId="3C4E2565" w14:textId="77777777" w:rsidR="003B17E4" w:rsidRPr="00DB0EFD" w:rsidRDefault="003B17E4" w:rsidP="001D58E7">
            <w:pPr>
              <w:pStyle w:val="CS-IBMTableText"/>
              <w:jc w:val="center"/>
            </w:pPr>
            <w:r w:rsidRPr="00E57E4D">
              <w:t>Early defect detection</w:t>
            </w:r>
          </w:p>
        </w:tc>
        <w:tc>
          <w:tcPr>
            <w:tcW w:w="1481" w:type="pct"/>
            <w:shd w:val="clear" w:color="auto" w:fill="FFFFFF" w:themeFill="background1"/>
            <w:vAlign w:val="center"/>
            <w:hideMark/>
          </w:tcPr>
          <w:p w14:paraId="1CFD601F" w14:textId="77777777" w:rsidR="003B17E4" w:rsidRPr="00DB0EFD" w:rsidRDefault="003B17E4" w:rsidP="001D58E7">
            <w:pPr>
              <w:pStyle w:val="CS-IBMTableText"/>
              <w:jc w:val="center"/>
            </w:pPr>
            <w:r w:rsidRPr="00454030">
              <w:t>&gt;98%</w:t>
            </w:r>
          </w:p>
        </w:tc>
      </w:tr>
      <w:tr w:rsidR="00A43C91" w:rsidRPr="00DB0EFD" w14:paraId="2B5C5388" w14:textId="77777777" w:rsidTr="00E30C95">
        <w:tc>
          <w:tcPr>
            <w:tcW w:w="1361" w:type="pct"/>
            <w:shd w:val="clear" w:color="auto" w:fill="FFFFFF" w:themeFill="background1"/>
            <w:vAlign w:val="center"/>
            <w:hideMark/>
          </w:tcPr>
          <w:p w14:paraId="77E8EA39" w14:textId="77777777" w:rsidR="003B17E4" w:rsidRPr="00DB0EFD" w:rsidRDefault="003B17E4" w:rsidP="001D58E7">
            <w:pPr>
              <w:pStyle w:val="CS-IBMTableText"/>
            </w:pPr>
            <w:r w:rsidRPr="00963495">
              <w:t>Test Execution Rate</w:t>
            </w:r>
          </w:p>
        </w:tc>
        <w:tc>
          <w:tcPr>
            <w:tcW w:w="2158" w:type="pct"/>
            <w:shd w:val="clear" w:color="auto" w:fill="FFFFFF" w:themeFill="background1"/>
            <w:vAlign w:val="center"/>
            <w:hideMark/>
          </w:tcPr>
          <w:p w14:paraId="3D6E8AF6" w14:textId="77777777" w:rsidR="003B17E4" w:rsidRPr="00DB0EFD" w:rsidRDefault="003B17E4" w:rsidP="001D58E7">
            <w:pPr>
              <w:pStyle w:val="CS-IBMTableText"/>
              <w:jc w:val="center"/>
            </w:pPr>
            <w:r w:rsidRPr="00E57E4D">
              <w:t>Progress tracking</w:t>
            </w:r>
          </w:p>
        </w:tc>
        <w:tc>
          <w:tcPr>
            <w:tcW w:w="1481" w:type="pct"/>
            <w:shd w:val="clear" w:color="auto" w:fill="FFFFFF" w:themeFill="background1"/>
            <w:vAlign w:val="center"/>
            <w:hideMark/>
          </w:tcPr>
          <w:p w14:paraId="54D5DBC1" w14:textId="77777777" w:rsidR="003B17E4" w:rsidRPr="00DB0EFD" w:rsidRDefault="003B17E4" w:rsidP="001D58E7">
            <w:pPr>
              <w:pStyle w:val="CS-IBMTableText"/>
              <w:jc w:val="center"/>
            </w:pPr>
            <w:r w:rsidRPr="00454030">
              <w:t>90%+ on time</w:t>
            </w:r>
          </w:p>
        </w:tc>
      </w:tr>
      <w:tr w:rsidR="00A43C91" w:rsidRPr="00DB0EFD" w14:paraId="2773D9E5" w14:textId="77777777" w:rsidTr="00E30C95">
        <w:tc>
          <w:tcPr>
            <w:tcW w:w="1361" w:type="pct"/>
            <w:shd w:val="clear" w:color="auto" w:fill="FFFFFF" w:themeFill="background1"/>
            <w:vAlign w:val="center"/>
            <w:hideMark/>
          </w:tcPr>
          <w:p w14:paraId="0FFD48C6" w14:textId="77777777" w:rsidR="003B17E4" w:rsidRPr="00DB0EFD" w:rsidRDefault="003B17E4" w:rsidP="001D58E7">
            <w:pPr>
              <w:pStyle w:val="CS-IBMTableText"/>
            </w:pPr>
            <w:r w:rsidRPr="00963495">
              <w:t>Defect Leakage</w:t>
            </w:r>
          </w:p>
        </w:tc>
        <w:tc>
          <w:tcPr>
            <w:tcW w:w="2158" w:type="pct"/>
            <w:shd w:val="clear" w:color="auto" w:fill="FFFFFF" w:themeFill="background1"/>
            <w:vAlign w:val="center"/>
            <w:hideMark/>
          </w:tcPr>
          <w:p w14:paraId="02DD8889" w14:textId="77777777" w:rsidR="003B17E4" w:rsidRPr="00DB0EFD" w:rsidRDefault="003B17E4" w:rsidP="001D58E7">
            <w:pPr>
              <w:pStyle w:val="CS-IBMTableText"/>
              <w:jc w:val="center"/>
            </w:pPr>
            <w:r w:rsidRPr="00E57E4D">
              <w:t>Quality at UAT transition</w:t>
            </w:r>
          </w:p>
        </w:tc>
        <w:tc>
          <w:tcPr>
            <w:tcW w:w="1481" w:type="pct"/>
            <w:shd w:val="clear" w:color="auto" w:fill="FFFFFF" w:themeFill="background1"/>
            <w:vAlign w:val="center"/>
            <w:hideMark/>
          </w:tcPr>
          <w:p w14:paraId="07CB9084" w14:textId="77777777" w:rsidR="003B17E4" w:rsidRPr="00DB0EFD" w:rsidRDefault="003B17E4" w:rsidP="001D58E7">
            <w:pPr>
              <w:pStyle w:val="CS-IBMTableText"/>
              <w:jc w:val="center"/>
            </w:pPr>
            <w:r w:rsidRPr="00454030">
              <w:t>&lt;1% Sev 1–2</w:t>
            </w:r>
          </w:p>
        </w:tc>
      </w:tr>
      <w:tr w:rsidR="00A43C91" w:rsidRPr="00DB0EFD" w14:paraId="129C7538" w14:textId="77777777" w:rsidTr="00E30C95">
        <w:tc>
          <w:tcPr>
            <w:tcW w:w="1361" w:type="pct"/>
            <w:shd w:val="clear" w:color="auto" w:fill="FFFFFF" w:themeFill="background1"/>
            <w:vAlign w:val="center"/>
            <w:hideMark/>
          </w:tcPr>
          <w:p w14:paraId="227AEAAB" w14:textId="77777777" w:rsidR="003B17E4" w:rsidRPr="00DB0EFD" w:rsidRDefault="003B17E4" w:rsidP="001D58E7">
            <w:pPr>
              <w:pStyle w:val="CS-IBMTableText"/>
            </w:pPr>
            <w:r w:rsidRPr="00963495">
              <w:t>Test Case Optimization</w:t>
            </w:r>
          </w:p>
        </w:tc>
        <w:tc>
          <w:tcPr>
            <w:tcW w:w="2158" w:type="pct"/>
            <w:shd w:val="clear" w:color="auto" w:fill="FFFFFF" w:themeFill="background1"/>
            <w:vAlign w:val="center"/>
            <w:hideMark/>
          </w:tcPr>
          <w:p w14:paraId="60896D76" w14:textId="77777777" w:rsidR="003B17E4" w:rsidRPr="00DB0EFD" w:rsidRDefault="003B17E4" w:rsidP="001D58E7">
            <w:pPr>
              <w:pStyle w:val="CS-IBMTableText"/>
              <w:jc w:val="center"/>
            </w:pPr>
            <w:r w:rsidRPr="00E57E4D">
              <w:t>Removal of redundancy</w:t>
            </w:r>
          </w:p>
        </w:tc>
        <w:tc>
          <w:tcPr>
            <w:tcW w:w="1481" w:type="pct"/>
            <w:shd w:val="clear" w:color="auto" w:fill="FFFFFF" w:themeFill="background1"/>
            <w:vAlign w:val="center"/>
            <w:hideMark/>
          </w:tcPr>
          <w:p w14:paraId="13392711" w14:textId="77777777" w:rsidR="003B17E4" w:rsidRPr="00DB0EFD" w:rsidRDefault="003B17E4" w:rsidP="001D58E7">
            <w:pPr>
              <w:pStyle w:val="CS-IBMTableText"/>
              <w:jc w:val="center"/>
            </w:pPr>
            <w:r w:rsidRPr="00454030">
              <w:t>30–40%</w:t>
            </w:r>
          </w:p>
        </w:tc>
      </w:tr>
    </w:tbl>
    <w:p w14:paraId="24018170" w14:textId="77777777" w:rsidR="00016A04" w:rsidRDefault="00016A04" w:rsidP="003B17E4">
      <w:pPr>
        <w:pStyle w:val="CS-IBMResponseText"/>
        <w:rPr>
          <w:color w:val="0070C0"/>
          <w:sz w:val="28"/>
          <w:szCs w:val="28"/>
        </w:rPr>
      </w:pPr>
    </w:p>
    <w:p w14:paraId="1749A81C" w14:textId="577EB266" w:rsidR="003B17E4" w:rsidRPr="00DD637A" w:rsidRDefault="003B17E4" w:rsidP="003B17E4">
      <w:pPr>
        <w:pStyle w:val="CS-IBMResponseText"/>
        <w:rPr>
          <w:color w:val="0070C0"/>
          <w:sz w:val="28"/>
          <w:szCs w:val="28"/>
        </w:rPr>
      </w:pPr>
      <w:r w:rsidRPr="00DD637A">
        <w:rPr>
          <w:color w:val="0070C0"/>
          <w:sz w:val="28"/>
          <w:szCs w:val="28"/>
        </w:rPr>
        <w:t>Reporting Cadence</w:t>
      </w:r>
    </w:p>
    <w:p w14:paraId="5D55B1AD" w14:textId="0A9B8BF8" w:rsidR="00F73625" w:rsidRPr="00F73625" w:rsidRDefault="00F73625" w:rsidP="003A7659">
      <w:pPr>
        <w:pStyle w:val="NormalWeb"/>
        <w:spacing w:before="0" w:after="0"/>
        <w:rPr>
          <w:rFonts w:ascii="Century Gothic" w:hAnsi="Century Gothic" w:cs="Arial"/>
          <w:color w:val="0D0D0D" w:themeColor="text1" w:themeTint="F2"/>
          <w:sz w:val="22"/>
          <w:szCs w:val="21"/>
        </w:rPr>
      </w:pPr>
      <w:r w:rsidRPr="00F73625">
        <w:rPr>
          <w:rFonts w:ascii="Century Gothic" w:hAnsi="Century Gothic" w:cs="Arial"/>
          <w:color w:val="0D0D0D" w:themeColor="text1" w:themeTint="F2"/>
          <w:sz w:val="22"/>
          <w:szCs w:val="21"/>
        </w:rPr>
        <w:t xml:space="preserve">IBM’s </w:t>
      </w:r>
      <w:r w:rsidRPr="00F73625">
        <w:rPr>
          <w:rFonts w:ascii="Century Gothic" w:hAnsi="Century Gothic" w:cs="Arial"/>
          <w:b/>
          <w:bCs/>
          <w:color w:val="0D0D0D" w:themeColor="text1" w:themeTint="F2"/>
          <w:sz w:val="22"/>
          <w:szCs w:val="21"/>
        </w:rPr>
        <w:t>structured reporting cadence</w:t>
      </w:r>
      <w:r w:rsidRPr="00F73625">
        <w:rPr>
          <w:rFonts w:ascii="Century Gothic" w:hAnsi="Century Gothic" w:cs="Arial"/>
          <w:color w:val="0D0D0D" w:themeColor="text1" w:themeTint="F2"/>
          <w:sz w:val="22"/>
          <w:szCs w:val="21"/>
        </w:rPr>
        <w:t xml:space="preserve"> ensures that quality and progress are continuously visible across every level of CalSAWS governance. These reports are not just status updates </w:t>
      </w:r>
      <w:r w:rsidR="0058773E">
        <w:rPr>
          <w:rFonts w:ascii="Century Gothic" w:hAnsi="Century Gothic" w:cs="Arial"/>
          <w:color w:val="0D0D0D" w:themeColor="text1" w:themeTint="F2"/>
          <w:sz w:val="22"/>
          <w:szCs w:val="21"/>
        </w:rPr>
        <w:t>but</w:t>
      </w:r>
      <w:r w:rsidRPr="00F73625">
        <w:rPr>
          <w:rFonts w:ascii="Century Gothic" w:hAnsi="Century Gothic" w:cs="Arial"/>
          <w:color w:val="0D0D0D" w:themeColor="text1" w:themeTint="F2"/>
          <w:sz w:val="22"/>
          <w:szCs w:val="21"/>
        </w:rPr>
        <w:t xml:space="preserve"> are </w:t>
      </w:r>
      <w:r w:rsidRPr="00F73625">
        <w:rPr>
          <w:rFonts w:ascii="Century Gothic" w:hAnsi="Century Gothic" w:cs="Arial"/>
          <w:b/>
          <w:bCs/>
          <w:color w:val="0D0D0D" w:themeColor="text1" w:themeTint="F2"/>
          <w:sz w:val="22"/>
          <w:szCs w:val="21"/>
        </w:rPr>
        <w:t>decision-enabling tools</w:t>
      </w:r>
      <w:r w:rsidRPr="00F73625">
        <w:rPr>
          <w:rFonts w:ascii="Century Gothic" w:hAnsi="Century Gothic" w:cs="Arial"/>
          <w:color w:val="0D0D0D" w:themeColor="text1" w:themeTint="F2"/>
          <w:sz w:val="22"/>
          <w:szCs w:val="21"/>
        </w:rPr>
        <w:t xml:space="preserve"> that help the Consortium, </w:t>
      </w:r>
      <w:r w:rsidR="0058773E">
        <w:rPr>
          <w:rFonts w:ascii="Century Gothic" w:hAnsi="Century Gothic" w:cs="Arial"/>
          <w:color w:val="0D0D0D" w:themeColor="text1" w:themeTint="F2"/>
          <w:sz w:val="22"/>
          <w:szCs w:val="21"/>
        </w:rPr>
        <w:t xml:space="preserve">JPA, PSC, </w:t>
      </w:r>
      <w:r w:rsidRPr="00F73625">
        <w:rPr>
          <w:rFonts w:ascii="Century Gothic" w:hAnsi="Century Gothic" w:cs="Arial"/>
          <w:color w:val="0D0D0D" w:themeColor="text1" w:themeTint="F2"/>
          <w:sz w:val="22"/>
          <w:szCs w:val="21"/>
        </w:rPr>
        <w:t xml:space="preserve">counties, and </w:t>
      </w:r>
      <w:r w:rsidR="0058773E">
        <w:rPr>
          <w:rFonts w:ascii="Century Gothic" w:hAnsi="Century Gothic" w:cs="Arial"/>
          <w:color w:val="0D0D0D" w:themeColor="text1" w:themeTint="F2"/>
          <w:sz w:val="22"/>
          <w:szCs w:val="21"/>
        </w:rPr>
        <w:t xml:space="preserve">incumbent CalSAWS </w:t>
      </w:r>
      <w:r w:rsidRPr="00F73625">
        <w:rPr>
          <w:rFonts w:ascii="Century Gothic" w:hAnsi="Century Gothic" w:cs="Arial"/>
          <w:color w:val="0D0D0D" w:themeColor="text1" w:themeTint="F2"/>
          <w:sz w:val="22"/>
          <w:szCs w:val="21"/>
        </w:rPr>
        <w:t>vendors monitor progress, mitigate risks early, and make informed release decisions. Each reporting layer is designed to drive transparency, accountability, and proactive collaboration within the multi-vendor ecosystem.</w:t>
      </w:r>
    </w:p>
    <w:p w14:paraId="4B477AD0" w14:textId="34A223B5" w:rsidR="00B03106" w:rsidRDefault="00F73625" w:rsidP="003A7659">
      <w:pPr>
        <w:pStyle w:val="NormalWeb"/>
        <w:spacing w:before="0" w:after="0"/>
        <w:rPr>
          <w:rFonts w:ascii="Century Gothic" w:hAnsi="Century Gothic" w:cs="Arial"/>
          <w:color w:val="0D0D0D" w:themeColor="text1" w:themeTint="F2"/>
          <w:sz w:val="22"/>
          <w:szCs w:val="21"/>
        </w:rPr>
      </w:pPr>
      <w:r w:rsidRPr="00F73625">
        <w:rPr>
          <w:rFonts w:ascii="Century Gothic" w:hAnsi="Century Gothic" w:cs="Arial"/>
          <w:color w:val="0D0D0D" w:themeColor="text1" w:themeTint="F2"/>
          <w:sz w:val="22"/>
          <w:szCs w:val="21"/>
        </w:rPr>
        <w:br/>
        <w:t>The goal of this cadence is to create a steady rhythm of communication enabling daily operational awareness, weekly tactical alignment, and monthly strategic oversight. Each report type is tailored to the audience it serves, ensuring that insights flow seamlessly from the QA delivery teams to Consortium leadership.</w:t>
      </w:r>
    </w:p>
    <w:p w14:paraId="6BECDFAB" w14:textId="77777777" w:rsidR="00B03106" w:rsidRPr="00F73625" w:rsidRDefault="00B03106" w:rsidP="003A7659">
      <w:pPr>
        <w:pStyle w:val="NormalWeb"/>
        <w:spacing w:before="0" w:after="0"/>
        <w:rPr>
          <w:rFonts w:ascii="Century Gothic" w:hAnsi="Century Gothic" w:cs="Arial"/>
          <w:color w:val="0D0D0D" w:themeColor="text1" w:themeTint="F2"/>
          <w:sz w:val="22"/>
          <w:szCs w:val="21"/>
        </w:rPr>
      </w:pPr>
    </w:p>
    <w:p w14:paraId="553151A0" w14:textId="77777777" w:rsidR="00F73625" w:rsidRPr="00F73625" w:rsidRDefault="00F73625" w:rsidP="003A7659">
      <w:pPr>
        <w:pStyle w:val="NormalWeb"/>
        <w:spacing w:before="0" w:after="0"/>
        <w:rPr>
          <w:rFonts w:ascii="Century Gothic" w:hAnsi="Century Gothic" w:cs="Arial"/>
          <w:color w:val="0D0D0D" w:themeColor="text1" w:themeTint="F2"/>
          <w:sz w:val="22"/>
          <w:szCs w:val="21"/>
        </w:rPr>
      </w:pPr>
      <w:r w:rsidRPr="00F73625">
        <w:rPr>
          <w:rFonts w:ascii="Century Gothic" w:hAnsi="Century Gothic" w:cs="Arial"/>
          <w:b/>
          <w:bCs/>
          <w:color w:val="0D0D0D" w:themeColor="text1" w:themeTint="F2"/>
          <w:sz w:val="22"/>
          <w:szCs w:val="21"/>
        </w:rPr>
        <w:t>Cadence and Content:</w:t>
      </w:r>
    </w:p>
    <w:p w14:paraId="6DA3B472" w14:textId="77777777" w:rsidR="00A90F81" w:rsidRDefault="00F73625" w:rsidP="00CF7600">
      <w:pPr>
        <w:pStyle w:val="NormalWeb"/>
        <w:numPr>
          <w:ilvl w:val="0"/>
          <w:numId w:val="51"/>
        </w:numPr>
        <w:spacing w:before="120" w:after="120"/>
        <w:rPr>
          <w:rFonts w:ascii="Century Gothic" w:hAnsi="Century Gothic" w:cs="Arial"/>
          <w:color w:val="0D0D0D" w:themeColor="text1" w:themeTint="F2"/>
          <w:sz w:val="22"/>
          <w:szCs w:val="21"/>
        </w:rPr>
      </w:pPr>
      <w:r w:rsidRPr="00A90F81">
        <w:rPr>
          <w:rFonts w:ascii="Century Gothic" w:hAnsi="Century Gothic" w:cs="Arial"/>
          <w:b/>
          <w:bCs/>
          <w:color w:val="0D0D0D" w:themeColor="text1" w:themeTint="F2"/>
          <w:sz w:val="22"/>
          <w:szCs w:val="21"/>
        </w:rPr>
        <w:lastRenderedPageBreak/>
        <w:t>Daily Reports</w:t>
      </w:r>
      <w:r w:rsidRPr="00A90F81">
        <w:rPr>
          <w:rFonts w:ascii="Century Gothic" w:hAnsi="Century Gothic" w:cs="Arial"/>
          <w:color w:val="0D0D0D" w:themeColor="text1" w:themeTint="F2"/>
          <w:sz w:val="22"/>
          <w:szCs w:val="21"/>
        </w:rPr>
        <w:t xml:space="preserve"> – Provide execution-level visibility to QA leads and testers. Summarize daily test execution results, defect discovery and resolution status, and identify blockers or risks requiring immediate attention.</w:t>
      </w:r>
    </w:p>
    <w:p w14:paraId="078FDECE" w14:textId="0BC05C5B" w:rsidR="00B03106" w:rsidRDefault="00F73625" w:rsidP="00CF7600">
      <w:pPr>
        <w:pStyle w:val="NormalWeb"/>
        <w:numPr>
          <w:ilvl w:val="0"/>
          <w:numId w:val="51"/>
        </w:numPr>
        <w:spacing w:before="120" w:after="120"/>
        <w:rPr>
          <w:rFonts w:ascii="Century Gothic" w:hAnsi="Century Gothic" w:cs="Arial"/>
          <w:color w:val="0D0D0D" w:themeColor="text1" w:themeTint="F2"/>
          <w:sz w:val="22"/>
          <w:szCs w:val="21"/>
        </w:rPr>
      </w:pPr>
      <w:r w:rsidRPr="00F73625">
        <w:rPr>
          <w:rFonts w:ascii="Century Gothic" w:hAnsi="Century Gothic" w:cs="Arial"/>
          <w:b/>
          <w:bCs/>
          <w:color w:val="0D0D0D" w:themeColor="text1" w:themeTint="F2"/>
          <w:sz w:val="22"/>
          <w:szCs w:val="21"/>
        </w:rPr>
        <w:t>Weekly QA Status Reports (Deliverable D-QA-03)</w:t>
      </w:r>
      <w:r w:rsidRPr="00F73625">
        <w:rPr>
          <w:rFonts w:ascii="Century Gothic" w:hAnsi="Century Gothic" w:cs="Arial"/>
          <w:color w:val="0D0D0D" w:themeColor="text1" w:themeTint="F2"/>
          <w:sz w:val="22"/>
          <w:szCs w:val="21"/>
        </w:rPr>
        <w:t xml:space="preserve"> Consolidate metrics such as coverage, schedule adherence, risk and issue updates, and actionable recommendations for improvement.</w:t>
      </w:r>
    </w:p>
    <w:p w14:paraId="36F0B9C9" w14:textId="77777777" w:rsidR="00B03106" w:rsidRDefault="00F73625" w:rsidP="00CF7600">
      <w:pPr>
        <w:pStyle w:val="NormalWeb"/>
        <w:numPr>
          <w:ilvl w:val="0"/>
          <w:numId w:val="51"/>
        </w:numPr>
        <w:spacing w:before="120" w:after="120"/>
        <w:rPr>
          <w:rFonts w:ascii="Century Gothic" w:hAnsi="Century Gothic" w:cs="Arial"/>
          <w:color w:val="0D0D0D" w:themeColor="text1" w:themeTint="F2"/>
          <w:sz w:val="22"/>
          <w:szCs w:val="21"/>
        </w:rPr>
      </w:pPr>
      <w:r w:rsidRPr="00F73625">
        <w:rPr>
          <w:rFonts w:ascii="Century Gothic" w:hAnsi="Century Gothic" w:cs="Arial"/>
          <w:b/>
          <w:bCs/>
          <w:color w:val="0D0D0D" w:themeColor="text1" w:themeTint="F2"/>
          <w:sz w:val="22"/>
          <w:szCs w:val="21"/>
        </w:rPr>
        <w:t>Monthly / Per-Release Reports</w:t>
      </w:r>
      <w:r w:rsidRPr="00F73625">
        <w:rPr>
          <w:rFonts w:ascii="Century Gothic" w:hAnsi="Century Gothic" w:cs="Arial"/>
          <w:color w:val="0D0D0D" w:themeColor="text1" w:themeTint="F2"/>
          <w:sz w:val="22"/>
          <w:szCs w:val="21"/>
        </w:rPr>
        <w:t xml:space="preserve"> – Present executive-level insights including dashboard summaries, trend analyses, root cause assessments, and </w:t>
      </w:r>
      <w:r w:rsidRPr="00F73625">
        <w:rPr>
          <w:rFonts w:ascii="Century Gothic" w:hAnsi="Century Gothic" w:cs="Arial"/>
          <w:b/>
          <w:bCs/>
          <w:color w:val="0D0D0D" w:themeColor="text1" w:themeTint="F2"/>
          <w:sz w:val="22"/>
          <w:szCs w:val="21"/>
        </w:rPr>
        <w:t>release readiness validation</w:t>
      </w:r>
      <w:r w:rsidRPr="00F73625">
        <w:rPr>
          <w:rFonts w:ascii="Century Gothic" w:hAnsi="Century Gothic" w:cs="Arial"/>
          <w:color w:val="0D0D0D" w:themeColor="text1" w:themeTint="F2"/>
          <w:sz w:val="22"/>
          <w:szCs w:val="21"/>
        </w:rPr>
        <w:t xml:space="preserve"> (aligned with the Green Light process).</w:t>
      </w:r>
    </w:p>
    <w:p w14:paraId="4076A673" w14:textId="77777777" w:rsidR="001F71DA" w:rsidRDefault="001F71DA" w:rsidP="003A7659">
      <w:pPr>
        <w:pStyle w:val="NormalWeb"/>
        <w:spacing w:before="0" w:after="0"/>
        <w:rPr>
          <w:rFonts w:ascii="Century Gothic" w:hAnsi="Century Gothic" w:cs="Arial"/>
          <w:color w:val="0D0D0D" w:themeColor="text1" w:themeTint="F2"/>
          <w:sz w:val="22"/>
          <w:szCs w:val="21"/>
        </w:rPr>
      </w:pPr>
    </w:p>
    <w:p w14:paraId="03EE503B" w14:textId="525F20A9" w:rsidR="00F73625" w:rsidRPr="001F71DA" w:rsidRDefault="00F73625" w:rsidP="001F71DA">
      <w:pPr>
        <w:pStyle w:val="NormalWeb"/>
        <w:spacing w:before="0" w:after="0"/>
        <w:rPr>
          <w:rFonts w:ascii="Century Gothic" w:hAnsi="Century Gothic" w:cs="Arial"/>
          <w:b/>
          <w:bCs/>
          <w:color w:val="0D0D0D" w:themeColor="text1" w:themeTint="F2"/>
          <w:sz w:val="22"/>
          <w:szCs w:val="21"/>
        </w:rPr>
      </w:pPr>
      <w:r w:rsidRPr="001F71DA">
        <w:rPr>
          <w:rFonts w:ascii="Century Gothic" w:hAnsi="Century Gothic" w:cs="Arial"/>
          <w:b/>
          <w:bCs/>
          <w:color w:val="0D0D0D" w:themeColor="text1" w:themeTint="F2"/>
          <w:sz w:val="22"/>
          <w:szCs w:val="21"/>
        </w:rPr>
        <w:t>Continuous Validation and Improvemen</w:t>
      </w:r>
      <w:r w:rsidR="00734D2C" w:rsidRPr="001F71DA">
        <w:rPr>
          <w:rFonts w:ascii="Century Gothic" w:hAnsi="Century Gothic" w:cs="Arial"/>
          <w:b/>
          <w:bCs/>
          <w:color w:val="0D0D0D" w:themeColor="text1" w:themeTint="F2"/>
          <w:sz w:val="22"/>
          <w:szCs w:val="21"/>
        </w:rPr>
        <w:t>t</w:t>
      </w:r>
    </w:p>
    <w:p w14:paraId="71F994B0" w14:textId="77777777" w:rsidR="00F73625" w:rsidRPr="00734D2C" w:rsidRDefault="00F73625" w:rsidP="003A7659">
      <w:pPr>
        <w:pStyle w:val="NormalWeb"/>
        <w:spacing w:before="0" w:after="0"/>
        <w:rPr>
          <w:rFonts w:ascii="Century Gothic" w:hAnsi="Century Gothic" w:cs="Arial"/>
          <w:color w:val="0D0D0D" w:themeColor="text1" w:themeTint="F2"/>
          <w:sz w:val="22"/>
          <w:szCs w:val="21"/>
        </w:rPr>
      </w:pPr>
      <w:r w:rsidRPr="00734D2C">
        <w:rPr>
          <w:rFonts w:ascii="Century Gothic" w:hAnsi="Century Gothic" w:cs="Arial"/>
          <w:color w:val="0D0D0D" w:themeColor="text1" w:themeTint="F2"/>
          <w:sz w:val="22"/>
          <w:szCs w:val="21"/>
        </w:rPr>
        <w:t>IBM integrates continuous quality validation into every cycle, ensuring that insights from each test iteration directly strengthen the next. This closed-loop process transforms QA from a static checkpoint into a self-improving, adaptive discipline.</w:t>
      </w:r>
    </w:p>
    <w:p w14:paraId="0ECA1F33" w14:textId="77777777" w:rsidR="00F73625" w:rsidRPr="00F73625" w:rsidRDefault="00F73625" w:rsidP="003A7659">
      <w:pPr>
        <w:pStyle w:val="NormalWeb"/>
        <w:spacing w:before="0" w:after="0"/>
        <w:rPr>
          <w:rFonts w:ascii="Century Gothic" w:hAnsi="Century Gothic" w:cs="Arial"/>
          <w:color w:val="0D0D0D" w:themeColor="text1" w:themeTint="F2"/>
          <w:sz w:val="22"/>
          <w:szCs w:val="21"/>
        </w:rPr>
      </w:pPr>
      <w:r w:rsidRPr="00F73625">
        <w:rPr>
          <w:rFonts w:ascii="Century Gothic" w:hAnsi="Century Gothic" w:cs="Arial"/>
          <w:color w:val="0D0D0D" w:themeColor="text1" w:themeTint="F2"/>
          <w:sz w:val="22"/>
          <w:szCs w:val="21"/>
        </w:rPr>
        <w:t>Continuous improvement activities include:</w:t>
      </w:r>
    </w:p>
    <w:p w14:paraId="7B1B935B" w14:textId="77777777" w:rsidR="00F73625" w:rsidRPr="00F73625" w:rsidRDefault="00F73625" w:rsidP="00CF7600">
      <w:pPr>
        <w:pStyle w:val="NormalWeb"/>
        <w:numPr>
          <w:ilvl w:val="0"/>
          <w:numId w:val="52"/>
        </w:numPr>
        <w:spacing w:before="0" w:after="0"/>
        <w:rPr>
          <w:rFonts w:ascii="Century Gothic" w:hAnsi="Century Gothic" w:cs="Arial"/>
          <w:color w:val="0D0D0D" w:themeColor="text1" w:themeTint="F2"/>
          <w:sz w:val="22"/>
          <w:szCs w:val="21"/>
        </w:rPr>
      </w:pPr>
      <w:r w:rsidRPr="00F73625">
        <w:rPr>
          <w:rFonts w:ascii="Century Gothic" w:hAnsi="Century Gothic" w:cs="Arial"/>
          <w:b/>
          <w:bCs/>
          <w:color w:val="0D0D0D" w:themeColor="text1" w:themeTint="F2"/>
          <w:sz w:val="22"/>
          <w:szCs w:val="21"/>
        </w:rPr>
        <w:t>Root Cause Analysis (RCA)</w:t>
      </w:r>
      <w:r w:rsidRPr="00F73625">
        <w:rPr>
          <w:rFonts w:ascii="Century Gothic" w:hAnsi="Century Gothic" w:cs="Arial"/>
          <w:color w:val="0D0D0D" w:themeColor="text1" w:themeTint="F2"/>
          <w:sz w:val="22"/>
          <w:szCs w:val="21"/>
        </w:rPr>
        <w:t>-based corrective actions to prevent recurring issues</w:t>
      </w:r>
    </w:p>
    <w:p w14:paraId="6BF11439" w14:textId="77777777" w:rsidR="00F73625" w:rsidRPr="00F73625" w:rsidRDefault="00F73625" w:rsidP="00CF7600">
      <w:pPr>
        <w:pStyle w:val="NormalWeb"/>
        <w:numPr>
          <w:ilvl w:val="0"/>
          <w:numId w:val="52"/>
        </w:numPr>
        <w:spacing w:before="0" w:after="0"/>
        <w:rPr>
          <w:rFonts w:ascii="Century Gothic" w:hAnsi="Century Gothic" w:cs="Arial"/>
          <w:color w:val="0D0D0D" w:themeColor="text1" w:themeTint="F2"/>
          <w:sz w:val="22"/>
          <w:szCs w:val="21"/>
        </w:rPr>
      </w:pPr>
      <w:r w:rsidRPr="00F73625">
        <w:rPr>
          <w:rFonts w:ascii="Century Gothic" w:hAnsi="Century Gothic" w:cs="Arial"/>
          <w:b/>
          <w:bCs/>
          <w:color w:val="0D0D0D" w:themeColor="text1" w:themeTint="F2"/>
          <w:sz w:val="22"/>
          <w:szCs w:val="21"/>
        </w:rPr>
        <w:t>Optimization of redundant test cases</w:t>
      </w:r>
      <w:r w:rsidRPr="00F73625">
        <w:rPr>
          <w:rFonts w:ascii="Century Gothic" w:hAnsi="Century Gothic" w:cs="Arial"/>
          <w:color w:val="0D0D0D" w:themeColor="text1" w:themeTint="F2"/>
          <w:sz w:val="22"/>
          <w:szCs w:val="21"/>
        </w:rPr>
        <w:t xml:space="preserve"> to enhance efficiency and maintain test suite relevance</w:t>
      </w:r>
    </w:p>
    <w:p w14:paraId="1AA1CCD0" w14:textId="77777777" w:rsidR="00F73625" w:rsidRPr="00F73625" w:rsidRDefault="00F73625" w:rsidP="00CF7600">
      <w:pPr>
        <w:pStyle w:val="NormalWeb"/>
        <w:numPr>
          <w:ilvl w:val="0"/>
          <w:numId w:val="52"/>
        </w:numPr>
        <w:spacing w:before="0" w:after="0"/>
        <w:rPr>
          <w:rFonts w:ascii="Century Gothic" w:hAnsi="Century Gothic" w:cs="Arial"/>
          <w:color w:val="0D0D0D" w:themeColor="text1" w:themeTint="F2"/>
          <w:sz w:val="22"/>
          <w:szCs w:val="21"/>
        </w:rPr>
      </w:pPr>
      <w:r w:rsidRPr="00F73625">
        <w:rPr>
          <w:rFonts w:ascii="Century Gothic" w:hAnsi="Century Gothic" w:cs="Arial"/>
          <w:b/>
          <w:bCs/>
          <w:color w:val="0D0D0D" w:themeColor="text1" w:themeTint="F2"/>
          <w:sz w:val="22"/>
          <w:szCs w:val="21"/>
        </w:rPr>
        <w:t>Reinforcement of framework alignment</w:t>
      </w:r>
      <w:r w:rsidRPr="00F73625">
        <w:rPr>
          <w:rFonts w:ascii="Century Gothic" w:hAnsi="Century Gothic" w:cs="Arial"/>
          <w:color w:val="0D0D0D" w:themeColor="text1" w:themeTint="F2"/>
          <w:sz w:val="22"/>
          <w:szCs w:val="21"/>
        </w:rPr>
        <w:t xml:space="preserve"> to ensure consistency across vendors and environments</w:t>
      </w:r>
    </w:p>
    <w:p w14:paraId="4C3B1603" w14:textId="77777777" w:rsidR="00F73625" w:rsidRPr="00F73625" w:rsidRDefault="00F73625" w:rsidP="00CF7600">
      <w:pPr>
        <w:pStyle w:val="NormalWeb"/>
        <w:numPr>
          <w:ilvl w:val="0"/>
          <w:numId w:val="52"/>
        </w:numPr>
        <w:spacing w:before="0" w:after="0"/>
        <w:rPr>
          <w:rFonts w:ascii="Century Gothic" w:hAnsi="Century Gothic" w:cs="Arial"/>
          <w:color w:val="0D0D0D" w:themeColor="text1" w:themeTint="F2"/>
          <w:sz w:val="22"/>
          <w:szCs w:val="21"/>
        </w:rPr>
      </w:pPr>
      <w:r w:rsidRPr="00F73625">
        <w:rPr>
          <w:rFonts w:ascii="Century Gothic" w:hAnsi="Century Gothic" w:cs="Arial"/>
          <w:b/>
          <w:bCs/>
          <w:color w:val="0D0D0D" w:themeColor="text1" w:themeTint="F2"/>
          <w:sz w:val="22"/>
          <w:szCs w:val="21"/>
        </w:rPr>
        <w:t>Structured feedback loops</w:t>
      </w:r>
      <w:r w:rsidRPr="00F73625">
        <w:rPr>
          <w:rFonts w:ascii="Century Gothic" w:hAnsi="Century Gothic" w:cs="Arial"/>
          <w:color w:val="0D0D0D" w:themeColor="text1" w:themeTint="F2"/>
          <w:sz w:val="22"/>
          <w:szCs w:val="21"/>
        </w:rPr>
        <w:t xml:space="preserve"> with counties, vendors, and Consortium teams to incorporate real-world insights into QA cycles</w:t>
      </w:r>
    </w:p>
    <w:p w14:paraId="11C851C0" w14:textId="77777777" w:rsidR="00F73625" w:rsidRDefault="00F73625" w:rsidP="00CF7600">
      <w:pPr>
        <w:pStyle w:val="NormalWeb"/>
        <w:numPr>
          <w:ilvl w:val="0"/>
          <w:numId w:val="52"/>
        </w:numPr>
        <w:spacing w:before="0" w:after="0"/>
        <w:rPr>
          <w:rFonts w:ascii="Century Gothic" w:hAnsi="Century Gothic" w:cs="Arial"/>
          <w:color w:val="0D0D0D" w:themeColor="text1" w:themeTint="F2"/>
          <w:sz w:val="22"/>
          <w:szCs w:val="21"/>
        </w:rPr>
      </w:pPr>
      <w:r w:rsidRPr="00F73625">
        <w:rPr>
          <w:rFonts w:ascii="Century Gothic" w:hAnsi="Century Gothic" w:cs="Arial"/>
          <w:b/>
          <w:bCs/>
          <w:color w:val="0D0D0D" w:themeColor="text1" w:themeTint="F2"/>
          <w:sz w:val="22"/>
          <w:szCs w:val="21"/>
        </w:rPr>
        <w:t>Predictive analytics through IQP Plus</w:t>
      </w:r>
      <w:r w:rsidRPr="00F73625">
        <w:rPr>
          <w:rFonts w:ascii="Century Gothic" w:hAnsi="Century Gothic" w:cs="Arial"/>
          <w:color w:val="0D0D0D" w:themeColor="text1" w:themeTint="F2"/>
          <w:sz w:val="22"/>
          <w:szCs w:val="21"/>
        </w:rPr>
        <w:t xml:space="preserve"> to anticipate risks and continuously refine test focus and coverage</w:t>
      </w:r>
    </w:p>
    <w:p w14:paraId="3F4F3BB2" w14:textId="77777777" w:rsidR="00B03106" w:rsidRPr="00F73625" w:rsidRDefault="00B03106" w:rsidP="00B03106">
      <w:pPr>
        <w:pStyle w:val="NormalWeb"/>
        <w:spacing w:before="0" w:after="0"/>
        <w:ind w:left="720"/>
        <w:rPr>
          <w:rFonts w:ascii="Century Gothic" w:hAnsi="Century Gothic" w:cs="Arial"/>
          <w:color w:val="0D0D0D" w:themeColor="text1" w:themeTint="F2"/>
          <w:sz w:val="22"/>
          <w:szCs w:val="21"/>
        </w:rPr>
      </w:pPr>
    </w:p>
    <w:p w14:paraId="4CF4F25D" w14:textId="77777777" w:rsidR="00F73625" w:rsidRDefault="00F73625" w:rsidP="003A7659">
      <w:pPr>
        <w:pStyle w:val="NormalWeb"/>
        <w:spacing w:before="0" w:after="0"/>
        <w:rPr>
          <w:rFonts w:ascii="Century Gothic" w:hAnsi="Century Gothic" w:cs="Arial"/>
          <w:color w:val="0D0D0D" w:themeColor="text1" w:themeTint="F2"/>
          <w:sz w:val="22"/>
          <w:szCs w:val="21"/>
        </w:rPr>
      </w:pPr>
      <w:r w:rsidRPr="00DA126A">
        <w:rPr>
          <w:rFonts w:ascii="Century Gothic" w:hAnsi="Century Gothic" w:cs="Arial"/>
          <w:b/>
          <w:bCs/>
          <w:color w:val="0D0D0D" w:themeColor="text1" w:themeTint="F2"/>
          <w:sz w:val="22"/>
          <w:szCs w:val="21"/>
          <w:u w:val="single"/>
        </w:rPr>
        <w:t>Outcome</w:t>
      </w:r>
      <w:r w:rsidR="00DA126A" w:rsidRPr="00DA126A">
        <w:rPr>
          <w:rFonts w:ascii="Century Gothic" w:hAnsi="Century Gothic" w:cs="Arial"/>
          <w:b/>
          <w:bCs/>
          <w:color w:val="0D0D0D" w:themeColor="text1" w:themeTint="F2"/>
          <w:sz w:val="22"/>
          <w:szCs w:val="21"/>
          <w:u w:val="single"/>
        </w:rPr>
        <w:t>:</w:t>
      </w:r>
      <w:r w:rsidR="00DA126A" w:rsidRPr="00DA126A">
        <w:rPr>
          <w:rFonts w:ascii="Century Gothic" w:hAnsi="Century Gothic" w:cs="Arial"/>
          <w:b/>
          <w:bCs/>
          <w:color w:val="0D0D0D" w:themeColor="text1" w:themeTint="F2"/>
          <w:sz w:val="22"/>
          <w:szCs w:val="21"/>
        </w:rPr>
        <w:t xml:space="preserve"> </w:t>
      </w:r>
      <w:r w:rsidRPr="00DA126A">
        <w:rPr>
          <w:rFonts w:ascii="Century Gothic" w:hAnsi="Century Gothic" w:cs="Arial"/>
          <w:color w:val="0D0D0D" w:themeColor="text1" w:themeTint="F2"/>
          <w:sz w:val="22"/>
          <w:szCs w:val="21"/>
        </w:rPr>
        <w:t>Each iteration strengthens quality predictability, reduces rework, and ensures CalSAWS maintains a sustainable, high-performing QA ecosystem aligned with its modernization roadmap.</w:t>
      </w:r>
    </w:p>
    <w:p w14:paraId="62C9CD9D" w14:textId="0D961E94" w:rsidR="00AF3846" w:rsidRDefault="00AF3846" w:rsidP="003A7659">
      <w:pPr>
        <w:pStyle w:val="NormalWeb"/>
        <w:spacing w:before="0" w:after="0"/>
        <w:rPr>
          <w:rFonts w:ascii="Century Gothic" w:hAnsi="Century Gothic" w:cs="Arial"/>
          <w:color w:val="0D0D0D" w:themeColor="text1" w:themeTint="F2"/>
          <w:sz w:val="22"/>
          <w:szCs w:val="21"/>
        </w:rPr>
      </w:pPr>
      <w:r>
        <w:rPr>
          <w:rFonts w:eastAsia="IBM Plex Sans"/>
          <w:noProof/>
        </w:rPr>
        <mc:AlternateContent>
          <mc:Choice Requires="wps">
            <w:drawing>
              <wp:anchor distT="0" distB="0" distL="114300" distR="114300" simplePos="0" relativeHeight="251658269" behindDoc="0" locked="0" layoutInCell="1" allowOverlap="1" wp14:anchorId="4BC17B91" wp14:editId="60E34B82">
                <wp:simplePos x="0" y="0"/>
                <wp:positionH relativeFrom="column">
                  <wp:posOffset>5715</wp:posOffset>
                </wp:positionH>
                <wp:positionV relativeFrom="paragraph">
                  <wp:posOffset>257175</wp:posOffset>
                </wp:positionV>
                <wp:extent cx="5989955" cy="2172335"/>
                <wp:effectExtent l="19050" t="19050" r="10795" b="18415"/>
                <wp:wrapTopAndBottom/>
                <wp:docPr id="578134559" name="Text Box 29"/>
                <wp:cNvGraphicFramePr/>
                <a:graphic xmlns:a="http://schemas.openxmlformats.org/drawingml/2006/main">
                  <a:graphicData uri="http://schemas.microsoft.com/office/word/2010/wordprocessingShape">
                    <wps:wsp>
                      <wps:cNvSpPr txBox="1"/>
                      <wps:spPr>
                        <a:xfrm>
                          <a:off x="0" y="0"/>
                          <a:ext cx="5989955" cy="2172335"/>
                        </a:xfrm>
                        <a:prstGeom prst="rect">
                          <a:avLst/>
                        </a:prstGeom>
                        <a:solidFill>
                          <a:schemeClr val="bg1"/>
                        </a:solidFill>
                        <a:ln w="28575">
                          <a:solidFill>
                            <a:srgbClr val="006699"/>
                          </a:solidFill>
                        </a:ln>
                      </wps:spPr>
                      <wps:txbx>
                        <w:txbxContent>
                          <w:p w14:paraId="53E4B200" w14:textId="428ACA9B" w:rsidR="00AF3846" w:rsidRPr="00AF3846" w:rsidDel="009C1981" w:rsidRDefault="00AF3846" w:rsidP="00AF3846">
                            <w:pPr>
                              <w:pStyle w:val="CS-IBMResponseText"/>
                              <w:ind w:left="360" w:hanging="360"/>
                              <w:rPr>
                                <w:b/>
                                <w:bCs/>
                                <w:i/>
                                <w:iCs/>
                                <w:color w:val="00678F" w:themeColor="accent2" w:themeShade="BF"/>
                                <w:szCs w:val="22"/>
                              </w:rPr>
                            </w:pPr>
                            <w:r w:rsidRPr="00AF3846">
                              <w:rPr>
                                <w:b/>
                                <w:bCs/>
                                <w:i/>
                                <w:iCs/>
                                <w:color w:val="00678F" w:themeColor="accent2" w:themeShade="BF"/>
                                <w:szCs w:val="22"/>
                              </w:rPr>
                              <w:t>Strengthening, Not Replacing Existing Processes</w:t>
                            </w:r>
                          </w:p>
                          <w:p w14:paraId="0E2AC547" w14:textId="5E137B1F" w:rsidR="00AF3846" w:rsidRPr="00734D2C" w:rsidRDefault="00AF3846" w:rsidP="00AF3846">
                            <w:pPr>
                              <w:pStyle w:val="CS-IBMBullet1"/>
                              <w:numPr>
                                <w:ilvl w:val="0"/>
                                <w:numId w:val="0"/>
                              </w:numPr>
                              <w:ind w:left="360"/>
                            </w:pPr>
                            <w:r w:rsidRPr="00734D2C">
                              <w:t>IBM recognizes the Consortium’s strong foundation of governance, collaboration, and quality reporting. While our proposed cadence and continuous improvement framework introduce additional analytical depth and automation, our intent is not to change or replace what is working well today.</w:t>
                            </w:r>
                            <w:r w:rsidRPr="00734D2C">
                              <w:br/>
                              <w:t>Instead, IBM will work collaboratively with the CalSAWS Consortium, Deloitte</w:t>
                            </w:r>
                            <w:r w:rsidR="00D44F2C">
                              <w:t xml:space="preserve"> </w:t>
                            </w:r>
                            <w:r w:rsidRPr="00734D2C">
                              <w:t>and Gainwell to enhance and strengthen the existing reporting structure. Our goal is to build upon the current framework, bringing greater consistency, visibility, and actionable insight</w:t>
                            </w:r>
                            <w:r>
                              <w:t xml:space="preserve"> </w:t>
                            </w:r>
                            <w:r w:rsidRPr="00734D2C">
                              <w:t>ensuring that every partner benefits from a unified, transparent view of quality and progress across releases.</w:t>
                            </w:r>
                          </w:p>
                          <w:p w14:paraId="58034E81" w14:textId="77777777" w:rsidR="00AF3846" w:rsidRPr="00DA0139" w:rsidRDefault="00AF3846" w:rsidP="00AF3846">
                            <w:pPr>
                              <w:pStyle w:val="CS-IBMBullet1"/>
                            </w:pPr>
                          </w:p>
                          <w:p w14:paraId="068F4AD7" w14:textId="77777777" w:rsidR="00AF3846" w:rsidRPr="00CB6778" w:rsidRDefault="00AF3846" w:rsidP="00AF3846">
                            <w:pPr>
                              <w:jc w:val="center"/>
                            </w:pPr>
                          </w:p>
                        </w:txbxContent>
                      </wps:txbx>
                      <wps:bodyPr rot="0" spcFirstLastPara="0" vertOverflow="overflow" horzOverflow="overflow" vert="horz" wrap="square" lIns="182880" tIns="91440" rIns="18288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17B91" id="_x0000_s1041" type="#_x0000_t202" style="position:absolute;margin-left:.45pt;margin-top:20.25pt;width:471.65pt;height:171.0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" fillcolor="white [3212]" strokecolor="#069" strokeweight="2.25pt">
                <v:textbox inset="14.4pt,7.2pt,14.4pt,7.2pt">
                  <w:txbxContent>
                    <w:p w14:paraId="53E4B200" w14:textId="428ACA9B" w:rsidR="00AF3846" w:rsidRPr="00AF3846" w:rsidDel="009C1981" w:rsidRDefault="00AF3846" w:rsidP="00AF3846">
                      <w:pPr>
                        <w:pStyle w:val="CS-IBMResponseText"/>
                        <w:ind w:left="360" w:hanging="360"/>
                        <w:rPr>
                          <w:b/>
                          <w:bCs/>
                          <w:i/>
                          <w:iCs/>
                          <w:color w:val="00678F" w:themeColor="accent2" w:themeShade="BF"/>
                          <w:szCs w:val="22"/>
                        </w:rPr>
                      </w:pPr>
                      <w:r w:rsidRPr="00AF3846">
                        <w:rPr>
                          <w:b/>
                          <w:bCs/>
                          <w:i/>
                          <w:iCs/>
                          <w:color w:val="00678F" w:themeColor="accent2" w:themeShade="BF"/>
                          <w:szCs w:val="22"/>
                        </w:rPr>
                        <w:t>Strengthening, Not Replacing Existing Processes</w:t>
                      </w:r>
                    </w:p>
                    <w:p w14:paraId="0E2AC547" w14:textId="5E137B1F" w:rsidR="00AF3846" w:rsidRPr="00734D2C" w:rsidRDefault="00AF3846" w:rsidP="00AF3846">
                      <w:pPr>
                        <w:pStyle w:val="CS-IBMBullet1"/>
                        <w:numPr>
                          <w:ilvl w:val="0"/>
                          <w:numId w:val="0"/>
                        </w:numPr>
                        <w:ind w:left="360"/>
                      </w:pPr>
                      <w:r w:rsidRPr="00734D2C">
                        <w:t>IBM recognizes the Consortium’s strong foundation of governance, collaboration, and quality reporting. While our proposed cadence and continuous improvement framework introduce additional analytical depth and automation, our intent is not to change or replace what is working well today.</w:t>
                      </w:r>
                      <w:r w:rsidRPr="00734D2C">
                        <w:br/>
                        <w:t>Instead, IBM will work collaboratively with the CalSAWS Consortium, Deloitte</w:t>
                      </w:r>
                      <w:r w:rsidR="00D44F2C">
                        <w:t xml:space="preserve"> </w:t>
                      </w:r>
                      <w:r w:rsidRPr="00734D2C">
                        <w:t>and Gainwell to enhance and strengthen the existing reporting structure. Our goal is to build upon the current framework, bringing greater consistency, visibility, and actionable insight</w:t>
                      </w:r>
                      <w:r>
                        <w:t xml:space="preserve"> </w:t>
                      </w:r>
                      <w:r w:rsidRPr="00734D2C">
                        <w:t>ensuring that every partner benefits from a unified, transparent view of quality and progress across releases.</w:t>
                      </w:r>
                    </w:p>
                    <w:p w14:paraId="58034E81" w14:textId="77777777" w:rsidR="00AF3846" w:rsidRPr="00DA0139" w:rsidRDefault="00AF3846" w:rsidP="00AF3846">
                      <w:pPr>
                        <w:pStyle w:val="CS-IBMBullet1"/>
                      </w:pPr>
                    </w:p>
                    <w:p w14:paraId="068F4AD7" w14:textId="77777777" w:rsidR="00AF3846" w:rsidRPr="00CB6778" w:rsidRDefault="00AF3846" w:rsidP="00AF3846">
                      <w:pPr>
                        <w:jc w:val="center"/>
                      </w:pPr>
                    </w:p>
                  </w:txbxContent>
                </v:textbox>
                <w10:wrap type="topAndBottom"/>
              </v:shape>
            </w:pict>
          </mc:Fallback>
        </mc:AlternateContent>
      </w:r>
    </w:p>
    <w:p w14:paraId="42DC3D2A" w14:textId="7AF71139" w:rsidR="005228D4" w:rsidRDefault="005228D4" w:rsidP="003A7659">
      <w:pPr>
        <w:pStyle w:val="NormalWeb"/>
        <w:spacing w:before="0" w:after="0"/>
        <w:rPr>
          <w:rFonts w:ascii="Century Gothic" w:hAnsi="Century Gothic" w:cs="Arial"/>
          <w:color w:val="0D0D0D" w:themeColor="text1" w:themeTint="F2"/>
          <w:sz w:val="22"/>
          <w:szCs w:val="21"/>
        </w:rPr>
      </w:pPr>
    </w:p>
    <w:p w14:paraId="346E8BBB" w14:textId="298A1D73" w:rsidR="003B17E4" w:rsidRDefault="003B17E4" w:rsidP="003B17E4">
      <w:pPr>
        <w:pStyle w:val="CS-IBMResponseText"/>
        <w:rPr>
          <w:color w:val="0070C0"/>
          <w:sz w:val="28"/>
          <w:szCs w:val="28"/>
        </w:rPr>
      </w:pPr>
      <w:r w:rsidRPr="00DD637A">
        <w:rPr>
          <w:color w:val="0070C0"/>
          <w:sz w:val="28"/>
          <w:szCs w:val="28"/>
        </w:rPr>
        <w:t>Example of IBM’s Proven Success:</w:t>
      </w:r>
    </w:p>
    <w:p w14:paraId="4BA237F0" w14:textId="6C34B2C5" w:rsidR="00AF2353" w:rsidRPr="00DD637A" w:rsidRDefault="00AF2353" w:rsidP="003B17E4">
      <w:pPr>
        <w:pStyle w:val="CS-IBMResponseText"/>
        <w:rPr>
          <w:color w:val="0070C0"/>
          <w:sz w:val="28"/>
          <w:szCs w:val="28"/>
        </w:rPr>
      </w:pPr>
      <w:r w:rsidRPr="00D02504">
        <w:lastRenderedPageBreak/>
        <w:t>IBM’s approach is grounded in experience successfully establishing independent QA frameworks for other large public benefit systems. The following example demonstrates IBM’s ability to combine independence, collaboration, and innovation—relevant directly to CalSAWS.</w:t>
      </w:r>
    </w:p>
    <w:p w14:paraId="02EA0D40" w14:textId="77777777" w:rsidR="003B17E4" w:rsidRDefault="003B17E4" w:rsidP="003B17E4">
      <w:pPr>
        <w:pStyle w:val="CS-IBMResponseText"/>
      </w:pPr>
      <w:r w:rsidRPr="0048403A">
        <w:rPr>
          <w:b/>
          <w:bCs/>
        </w:rPr>
        <w:t>Case Study:</w:t>
      </w:r>
      <w:r w:rsidRPr="0023169E">
        <w:t xml:space="preserve"> Large Multi-Vendor Public Benefits Modernization Program (Canadian Public Services Client)</w:t>
      </w:r>
    </w:p>
    <w:p w14:paraId="072DE42F" w14:textId="77777777" w:rsidR="003B17E4" w:rsidRPr="0023169E" w:rsidRDefault="003B17E4" w:rsidP="003B17E4">
      <w:pPr>
        <w:pStyle w:val="CS-IBMResponseText"/>
      </w:pPr>
      <w:r w:rsidRPr="0048403A">
        <w:rPr>
          <w:b/>
          <w:bCs/>
        </w:rPr>
        <w:t>Context</w:t>
      </w:r>
      <w:r w:rsidRPr="0023169E">
        <w:t>:</w:t>
      </w:r>
    </w:p>
    <w:p w14:paraId="7F126746" w14:textId="6FD77D96" w:rsidR="00AC35EC" w:rsidRPr="0023169E" w:rsidRDefault="00AC7725" w:rsidP="003B17E4">
      <w:pPr>
        <w:pStyle w:val="CS-IBMResponseText"/>
      </w:pPr>
      <w:r>
        <w:t>The Canadian Public Services Client example is similar to CalSAWS as it is has:</w:t>
      </w:r>
    </w:p>
    <w:p w14:paraId="06978A89" w14:textId="77777777" w:rsidR="003B17E4" w:rsidRPr="0023169E" w:rsidRDefault="003B17E4" w:rsidP="003B17E4">
      <w:pPr>
        <w:pStyle w:val="CS-IBMBullet1"/>
      </w:pPr>
      <w:r w:rsidRPr="0023169E">
        <w:t>Multi-vendor environment</w:t>
      </w:r>
    </w:p>
    <w:p w14:paraId="7EAA6ABB" w14:textId="77777777" w:rsidR="003B17E4" w:rsidRPr="0023169E" w:rsidRDefault="003B17E4" w:rsidP="003B17E4">
      <w:pPr>
        <w:pStyle w:val="CS-IBMBullet1"/>
      </w:pPr>
      <w:r w:rsidRPr="0023169E">
        <w:t>Eligibility and benefits delivery system</w:t>
      </w:r>
    </w:p>
    <w:p w14:paraId="6ACD7447" w14:textId="77777777" w:rsidR="003B17E4" w:rsidRPr="0023169E" w:rsidRDefault="003B17E4" w:rsidP="003B17E4">
      <w:pPr>
        <w:pStyle w:val="CS-IBMBullet1"/>
      </w:pPr>
      <w:r w:rsidRPr="0023169E">
        <w:t>Cross-agency integrations</w:t>
      </w:r>
    </w:p>
    <w:p w14:paraId="66F2BACE" w14:textId="77777777" w:rsidR="003B17E4" w:rsidRPr="0023169E" w:rsidRDefault="003B17E4" w:rsidP="003B17E4">
      <w:pPr>
        <w:pStyle w:val="CS-IBMBullet1"/>
      </w:pPr>
      <w:r w:rsidRPr="0023169E">
        <w:t>Large-scale modernization initiative</w:t>
      </w:r>
    </w:p>
    <w:p w14:paraId="08F56A26" w14:textId="77777777" w:rsidR="003B17E4" w:rsidRPr="0023169E" w:rsidRDefault="003B17E4" w:rsidP="003B17E4">
      <w:pPr>
        <w:pStyle w:val="CS-IBMBullet1"/>
      </w:pPr>
      <w:r w:rsidRPr="0023169E">
        <w:t>Similar complexity to CalSAWS</w:t>
      </w:r>
    </w:p>
    <w:p w14:paraId="49F5EA34" w14:textId="77777777" w:rsidR="003B17E4" w:rsidRDefault="003B17E4" w:rsidP="003B17E4">
      <w:pPr>
        <w:pStyle w:val="CS-IBMResponseText"/>
      </w:pPr>
      <w:r w:rsidRPr="0048403A">
        <w:rPr>
          <w:b/>
          <w:bCs/>
        </w:rPr>
        <w:t>Approach</w:t>
      </w:r>
      <w:r w:rsidRPr="0023169E">
        <w:t>:</w:t>
      </w:r>
    </w:p>
    <w:p w14:paraId="7A26A1C8" w14:textId="77777777" w:rsidR="003B17E4" w:rsidRPr="0023169E" w:rsidRDefault="003B17E4" w:rsidP="003B17E4">
      <w:pPr>
        <w:pStyle w:val="CS-IBMResponseText"/>
      </w:pPr>
      <w:r w:rsidRPr="0023169E">
        <w:t>IBM established a centralized Testing Center of Excellence (TCoE) using IQP Plus to:</w:t>
      </w:r>
    </w:p>
    <w:p w14:paraId="37196E24" w14:textId="77777777" w:rsidR="003B17E4" w:rsidRPr="0023169E" w:rsidRDefault="003B17E4" w:rsidP="003B17E4">
      <w:pPr>
        <w:pStyle w:val="CS-IBMBullet1"/>
      </w:pPr>
      <w:r w:rsidRPr="0023169E">
        <w:t>Consolidate test assets from multiple vendors</w:t>
      </w:r>
    </w:p>
    <w:p w14:paraId="65A337EA" w14:textId="77777777" w:rsidR="003B17E4" w:rsidRPr="0023169E" w:rsidRDefault="003B17E4" w:rsidP="003B17E4">
      <w:pPr>
        <w:pStyle w:val="CS-IBMBullet1"/>
      </w:pPr>
      <w:r w:rsidRPr="0023169E">
        <w:t>Generate synthetic test data</w:t>
      </w:r>
    </w:p>
    <w:p w14:paraId="41A4E7DF" w14:textId="77777777" w:rsidR="003B17E4" w:rsidRPr="0023169E" w:rsidRDefault="003B17E4" w:rsidP="003B17E4">
      <w:pPr>
        <w:pStyle w:val="CS-IBMBullet1"/>
      </w:pPr>
      <w:r w:rsidRPr="0023169E">
        <w:t>Automate regression suites across environments</w:t>
      </w:r>
    </w:p>
    <w:p w14:paraId="6E602402" w14:textId="77777777" w:rsidR="003B17E4" w:rsidRPr="0023169E" w:rsidRDefault="003B17E4" w:rsidP="003B17E4">
      <w:pPr>
        <w:pStyle w:val="CS-IBMBullet1"/>
      </w:pPr>
      <w:r w:rsidRPr="0023169E">
        <w:t>Integrate test assets into CI/CD pipelines</w:t>
      </w:r>
    </w:p>
    <w:p w14:paraId="7952644C" w14:textId="77777777" w:rsidR="003B17E4" w:rsidRPr="0023169E" w:rsidRDefault="003B17E4" w:rsidP="003B17E4">
      <w:pPr>
        <w:pStyle w:val="CS-IBMBullet1"/>
      </w:pPr>
      <w:r w:rsidRPr="0023169E">
        <w:t>Drive cross-vendor governance through joint triage and RACI alignment</w:t>
      </w:r>
    </w:p>
    <w:p w14:paraId="68DEB650" w14:textId="77777777" w:rsidR="003B17E4" w:rsidRPr="0023169E" w:rsidRDefault="003B17E4" w:rsidP="003B17E4">
      <w:pPr>
        <w:pStyle w:val="CS-IBMResponseText"/>
      </w:pPr>
      <w:r w:rsidRPr="000A22DF">
        <w:rPr>
          <w:b/>
          <w:bCs/>
        </w:rPr>
        <w:t>Results</w:t>
      </w:r>
      <w:r w:rsidRPr="0023169E">
        <w:t>:</w:t>
      </w:r>
    </w:p>
    <w:p w14:paraId="74554908" w14:textId="3C8CAA91" w:rsidR="00313723" w:rsidRPr="0023169E" w:rsidRDefault="00313723" w:rsidP="003B17E4">
      <w:pPr>
        <w:pStyle w:val="CS-IBMResponseText"/>
      </w:pPr>
      <w:r>
        <w:t>The results of establishing an independent QA framework were:</w:t>
      </w:r>
    </w:p>
    <w:p w14:paraId="4304FAE5" w14:textId="77777777" w:rsidR="003B17E4" w:rsidRPr="0023169E" w:rsidRDefault="003B17E4" w:rsidP="003B17E4">
      <w:pPr>
        <w:pStyle w:val="CS-IBMBullet1"/>
      </w:pPr>
      <w:r w:rsidRPr="0023169E">
        <w:t>95%+ automation across portals and core systems</w:t>
      </w:r>
    </w:p>
    <w:p w14:paraId="311A093F" w14:textId="77777777" w:rsidR="003B17E4" w:rsidRPr="0023169E" w:rsidRDefault="003B17E4" w:rsidP="003B17E4">
      <w:pPr>
        <w:pStyle w:val="CS-IBMBullet1"/>
      </w:pPr>
      <w:r w:rsidRPr="0023169E">
        <w:t>35% test case optimization</w:t>
      </w:r>
    </w:p>
    <w:p w14:paraId="4EE1787F" w14:textId="77777777" w:rsidR="003B17E4" w:rsidRPr="0023169E" w:rsidRDefault="003B17E4" w:rsidP="003B17E4">
      <w:pPr>
        <w:pStyle w:val="CS-IBMBullet1"/>
      </w:pPr>
      <w:r w:rsidRPr="0023169E">
        <w:t>99.9% defect removal efficiency</w:t>
      </w:r>
    </w:p>
    <w:p w14:paraId="3AD88C55" w14:textId="77777777" w:rsidR="003B17E4" w:rsidRPr="0023169E" w:rsidRDefault="003B17E4" w:rsidP="003B17E4">
      <w:pPr>
        <w:pStyle w:val="CS-IBMBullet1"/>
      </w:pPr>
      <w:r w:rsidRPr="0023169E">
        <w:t>99% client satisfaction (NPS)</w:t>
      </w:r>
    </w:p>
    <w:p w14:paraId="208C7DCF" w14:textId="77777777" w:rsidR="003B17E4" w:rsidRPr="0023169E" w:rsidRDefault="003B17E4" w:rsidP="003B17E4">
      <w:pPr>
        <w:pStyle w:val="CS-IBMBullet1"/>
      </w:pPr>
      <w:r w:rsidRPr="0023169E">
        <w:t>Faster releases with improved quality consistency</w:t>
      </w:r>
    </w:p>
    <w:p w14:paraId="67AAB72C" w14:textId="1AE4FB37" w:rsidR="00D83DEA" w:rsidRPr="00714EAA" w:rsidRDefault="003B17E4" w:rsidP="003B17E4">
      <w:pPr>
        <w:pStyle w:val="CS-IBMResponseText"/>
      </w:pPr>
      <w:r w:rsidRPr="0023169E">
        <w:t xml:space="preserve">This success is directly relevant to CalSAWS. The same combination of </w:t>
      </w:r>
      <w:r w:rsidRPr="00AA2932">
        <w:rPr>
          <w:b/>
          <w:bCs/>
        </w:rPr>
        <w:t>independence + collaboration + AI-powered test optimization</w:t>
      </w:r>
      <w:r w:rsidRPr="0023169E">
        <w:t xml:space="preserve"> will be applied to quickly establish a high-value baseline of independent tests and data.</w:t>
      </w:r>
    </w:p>
    <w:p w14:paraId="48519734" w14:textId="2C587A95" w:rsidR="003B17E4" w:rsidRPr="00DD637A" w:rsidRDefault="003B17E4" w:rsidP="003B17E4">
      <w:pPr>
        <w:pStyle w:val="CS-IBMResponseText"/>
        <w:rPr>
          <w:color w:val="0070C0"/>
          <w:sz w:val="28"/>
          <w:szCs w:val="28"/>
        </w:rPr>
      </w:pPr>
      <w:r w:rsidRPr="00DD637A">
        <w:rPr>
          <w:color w:val="0070C0"/>
          <w:sz w:val="28"/>
          <w:szCs w:val="28"/>
        </w:rPr>
        <w:t>Conclusion</w:t>
      </w:r>
    </w:p>
    <w:p w14:paraId="2FCFF781" w14:textId="77777777" w:rsidR="003B17E4" w:rsidRPr="0023169E" w:rsidRDefault="003B17E4" w:rsidP="003B17E4">
      <w:pPr>
        <w:pStyle w:val="CS-IBMResponseText"/>
      </w:pPr>
      <w:r w:rsidRPr="0023169E">
        <w:t>IBM’s approach to establishing the initial set of independent test cases and data for CalSAWS is structured, collaborative, AI-enabled, and governance-driven.</w:t>
      </w:r>
      <w:r w:rsidRPr="0023169E">
        <w:br/>
        <w:t>It balances independence with partnership, innovation with discipline, and speed with quality.</w:t>
      </w:r>
    </w:p>
    <w:p w14:paraId="5856D339" w14:textId="77777777" w:rsidR="003B17E4" w:rsidRPr="0023169E" w:rsidRDefault="003B17E4" w:rsidP="003B17E4">
      <w:pPr>
        <w:pStyle w:val="CS-IBMResponseText"/>
      </w:pPr>
      <w:r w:rsidRPr="0023169E">
        <w:t>We deliver this through:</w:t>
      </w:r>
    </w:p>
    <w:p w14:paraId="15F216DD" w14:textId="77777777" w:rsidR="003B17E4" w:rsidRPr="0023169E" w:rsidRDefault="003B17E4" w:rsidP="003B17E4">
      <w:pPr>
        <w:pStyle w:val="CS-IBMBullet1"/>
      </w:pPr>
      <w:r w:rsidRPr="0023169E">
        <w:t>Strong governance and deliverable alignment (D-QA-01 through D-QA-04)</w:t>
      </w:r>
    </w:p>
    <w:p w14:paraId="0363D802" w14:textId="4AC377BA" w:rsidR="003B17E4" w:rsidRPr="0023169E" w:rsidRDefault="003B17E4" w:rsidP="003B17E4">
      <w:pPr>
        <w:pStyle w:val="CS-IBMBullet1"/>
      </w:pPr>
      <w:r w:rsidRPr="0023169E">
        <w:t xml:space="preserve">Early transition and rationalization of existing </w:t>
      </w:r>
      <w:r w:rsidR="00607ABE">
        <w:t xml:space="preserve">test </w:t>
      </w:r>
      <w:r w:rsidRPr="0023169E">
        <w:t>assets</w:t>
      </w:r>
    </w:p>
    <w:p w14:paraId="28626F4A" w14:textId="77777777" w:rsidR="003B17E4" w:rsidRPr="0023169E" w:rsidRDefault="003B17E4" w:rsidP="003B17E4">
      <w:pPr>
        <w:pStyle w:val="CS-IBMBullet1"/>
      </w:pPr>
      <w:r w:rsidRPr="0023169E">
        <w:lastRenderedPageBreak/>
        <w:t>Collaborative development of test scenarios with counties and vendors</w:t>
      </w:r>
    </w:p>
    <w:p w14:paraId="635423F3" w14:textId="77777777" w:rsidR="003B17E4" w:rsidRPr="0023169E" w:rsidRDefault="003B17E4" w:rsidP="003B17E4">
      <w:pPr>
        <w:pStyle w:val="CS-IBMBullet1"/>
      </w:pPr>
      <w:r w:rsidRPr="0023169E">
        <w:t>Lifecycle integration and phased execution</w:t>
      </w:r>
    </w:p>
    <w:p w14:paraId="2DF418B7" w14:textId="77777777" w:rsidR="003B17E4" w:rsidRPr="0023169E" w:rsidRDefault="003B17E4" w:rsidP="003B17E4">
      <w:pPr>
        <w:pStyle w:val="CS-IBMBullet1"/>
      </w:pPr>
      <w:r w:rsidRPr="0023169E">
        <w:t>AI-enabled design, optimization, and data generation using IQP Plus</w:t>
      </w:r>
    </w:p>
    <w:p w14:paraId="0864EC7E" w14:textId="77777777" w:rsidR="003B17E4" w:rsidRPr="0023169E" w:rsidRDefault="003B17E4" w:rsidP="003B17E4">
      <w:pPr>
        <w:pStyle w:val="CS-IBMBullet1"/>
      </w:pPr>
      <w:r w:rsidRPr="0023169E">
        <w:t>Full coverage across functional, integration, regression, batch, API, and Section 508</w:t>
      </w:r>
    </w:p>
    <w:p w14:paraId="22D1403E" w14:textId="77777777" w:rsidR="003B17E4" w:rsidRPr="0023169E" w:rsidRDefault="003B17E4" w:rsidP="003B17E4">
      <w:pPr>
        <w:pStyle w:val="CS-IBMBullet1"/>
      </w:pPr>
      <w:r w:rsidRPr="0023169E">
        <w:t>Robust test data framework with synthetic and masked datasets</w:t>
      </w:r>
    </w:p>
    <w:p w14:paraId="509A5347" w14:textId="77777777" w:rsidR="003B17E4" w:rsidRPr="0023169E" w:rsidRDefault="003B17E4" w:rsidP="003B17E4">
      <w:pPr>
        <w:pStyle w:val="CS-IBMBullet1"/>
      </w:pPr>
      <w:r w:rsidRPr="0023169E">
        <w:t>Transparent metrics, dashboards, and continuous validation</w:t>
      </w:r>
    </w:p>
    <w:p w14:paraId="7DD78950" w14:textId="4070AAFE" w:rsidR="00D83DEA" w:rsidRPr="00113515" w:rsidRDefault="003B17E4" w:rsidP="003B17E4">
      <w:pPr>
        <w:pStyle w:val="CS-IBMBullet1"/>
      </w:pPr>
      <w:r w:rsidRPr="0023169E">
        <w:t>Proven results in multi-vendor statewide environments</w:t>
      </w:r>
    </w:p>
    <w:p w14:paraId="16D2B3D3" w14:textId="77B88BC9" w:rsidR="003B17E4" w:rsidRPr="00DD637A" w:rsidRDefault="003B17E4" w:rsidP="003B17E4">
      <w:pPr>
        <w:pStyle w:val="CS-IBMResponseText"/>
        <w:rPr>
          <w:color w:val="0070C0"/>
          <w:sz w:val="28"/>
          <w:szCs w:val="28"/>
        </w:rPr>
      </w:pPr>
      <w:r w:rsidRPr="00DD637A">
        <w:rPr>
          <w:color w:val="0070C0"/>
          <w:sz w:val="28"/>
          <w:szCs w:val="28"/>
        </w:rPr>
        <w:t>Outcome for CalSAWS</w:t>
      </w:r>
    </w:p>
    <w:p w14:paraId="2C496B30" w14:textId="77777777" w:rsidR="003B17E4" w:rsidRPr="0023169E" w:rsidRDefault="003B17E4" w:rsidP="003B17E4">
      <w:pPr>
        <w:pStyle w:val="CS-IBMResponseText"/>
      </w:pPr>
      <w:r w:rsidRPr="0023169E">
        <w:t>IBM will deliver a comprehensive, traceable, reusable, and high-value baseline of independent test cases and data that drives quality from Day One and provides a foundation for continuous improvement across every release.</w:t>
      </w:r>
    </w:p>
    <w:p w14:paraId="3721946F" w14:textId="77777777" w:rsidR="003B17E4" w:rsidRPr="0023169E" w:rsidRDefault="003B17E4" w:rsidP="003B17E4">
      <w:pPr>
        <w:pStyle w:val="CS-IBMResponseText"/>
      </w:pPr>
      <w:r w:rsidRPr="0023169E">
        <w:t>By combining governance maturity, deep program knowledge, collaborative partnership, and industry-leading innovation, IBM ensures that independent QA not only validates system readiness but actively accelerates modernization, reduces risk, and supports CalSAWS’ mission of delivering reliable, accessible services to California’s residents.</w:t>
      </w:r>
    </w:p>
    <w:p w14:paraId="448022ED" w14:textId="77777777" w:rsidR="004E00A3" w:rsidRDefault="004E00A3" w:rsidP="003B17E4">
      <w:pPr>
        <w:pStyle w:val="CS-IBMResponseText"/>
      </w:pPr>
    </w:p>
    <w:p w14:paraId="06B030C9" w14:textId="3A0F121E" w:rsidR="004E00A3" w:rsidRPr="00D83DEA" w:rsidRDefault="00D83DEA" w:rsidP="000C7BF6">
      <w:pPr>
        <w:spacing w:before="0" w:after="0"/>
      </w:pPr>
      <w:r>
        <w:br w:type="page"/>
      </w:r>
    </w:p>
    <w:p w14:paraId="27640D80" w14:textId="6DB9D80F" w:rsidR="00A86D86" w:rsidRPr="00DB0EFD" w:rsidRDefault="00A86D86" w:rsidP="00E05D7C">
      <w:pPr>
        <w:pStyle w:val="Heading3"/>
      </w:pPr>
      <w:bookmarkStart w:id="78" w:name="_Toc213070157"/>
      <w:r w:rsidRPr="00DB0EFD">
        <w:lastRenderedPageBreak/>
        <w:t>UA11</w:t>
      </w:r>
      <w:r w:rsidR="00EC5A9A">
        <w:t xml:space="preserve"> </w:t>
      </w:r>
      <w:r w:rsidR="000E6ACC">
        <w:t>Approach to Ensure Continuous and Effective Independent Test</w:t>
      </w:r>
      <w:bookmarkEnd w:id="78"/>
    </w:p>
    <w:p w14:paraId="4466B400" w14:textId="77777777" w:rsidR="00A86D86" w:rsidRPr="00AB7AFE" w:rsidRDefault="00A86D86" w:rsidP="00CF7600">
      <w:pPr>
        <w:pStyle w:val="CS-RFPBodyText"/>
        <w:numPr>
          <w:ilvl w:val="0"/>
          <w:numId w:val="39"/>
        </w:numPr>
        <w:spacing w:before="0" w:after="0"/>
        <w:rPr>
          <w:i/>
          <w:szCs w:val="22"/>
        </w:rPr>
      </w:pPr>
      <w:r w:rsidRPr="00AB7AFE">
        <w:rPr>
          <w:i/>
          <w:szCs w:val="22"/>
        </w:rPr>
        <w:t>Describe your approach to ensuring a continuously more effective set of independent tests without expanding the required CalSAWS resources.</w:t>
      </w:r>
    </w:p>
    <w:p w14:paraId="3168E3DD" w14:textId="77777777" w:rsidR="00AB7AFE" w:rsidRPr="00AB7AFE" w:rsidRDefault="00AB7AFE" w:rsidP="00CF7600">
      <w:pPr>
        <w:pStyle w:val="CS-RFPBodyText"/>
        <w:numPr>
          <w:ilvl w:val="0"/>
          <w:numId w:val="39"/>
        </w:numPr>
        <w:spacing w:before="0" w:after="0"/>
        <w:rPr>
          <w:i/>
          <w:szCs w:val="22"/>
        </w:rPr>
      </w:pPr>
      <w:r w:rsidRPr="00AB7AFE">
        <w:rPr>
          <w:i/>
          <w:szCs w:val="22"/>
        </w:rPr>
        <w:t>Describe, in detail, the tools and techniques within your approach that will illustrate ongoing improved confidence in the independent test results.</w:t>
      </w:r>
    </w:p>
    <w:p w14:paraId="20647707" w14:textId="1FFA5C78" w:rsidR="002C0C60" w:rsidRDefault="00AB7AFE" w:rsidP="00CF7600">
      <w:pPr>
        <w:pStyle w:val="CS-RFPBodyText"/>
        <w:numPr>
          <w:ilvl w:val="0"/>
          <w:numId w:val="39"/>
        </w:numPr>
        <w:spacing w:before="0" w:after="0"/>
        <w:rPr>
          <w:i/>
          <w:szCs w:val="22"/>
        </w:rPr>
      </w:pPr>
      <w:r w:rsidRPr="00AB7AFE">
        <w:rPr>
          <w:i/>
          <w:szCs w:val="22"/>
        </w:rPr>
        <w:t>Provide demonstrated examples from previous QA projects as applicable.</w:t>
      </w:r>
    </w:p>
    <w:p w14:paraId="14A4A476" w14:textId="77777777" w:rsidR="00AB7AFE" w:rsidRPr="00AB7AFE" w:rsidRDefault="00AB7AFE" w:rsidP="00AB7AFE">
      <w:pPr>
        <w:pStyle w:val="CS-RFPBodyText"/>
        <w:spacing w:before="0" w:after="0"/>
        <w:rPr>
          <w:i/>
          <w:szCs w:val="22"/>
        </w:rPr>
      </w:pPr>
    </w:p>
    <w:p w14:paraId="77BF41C0" w14:textId="580FF271" w:rsidR="002C0C60" w:rsidRPr="002C0C60" w:rsidRDefault="00A06CBD" w:rsidP="002C0C60">
      <w:pPr>
        <w:pStyle w:val="Caption"/>
        <w:spacing w:after="0"/>
        <w:rPr>
          <w:rFonts w:cs="Arial"/>
          <w:i w:val="0"/>
          <w:iCs w:val="0"/>
          <w:color w:val="0070C0"/>
          <w:sz w:val="28"/>
          <w:szCs w:val="28"/>
        </w:rPr>
      </w:pPr>
      <w:r>
        <w:rPr>
          <w:rFonts w:cs="Arial"/>
          <w:i w:val="0"/>
          <w:iCs w:val="0"/>
          <w:color w:val="0070C0"/>
          <w:sz w:val="28"/>
          <w:szCs w:val="28"/>
        </w:rPr>
        <w:t>Introduction</w:t>
      </w:r>
    </w:p>
    <w:p w14:paraId="52FF13D9" w14:textId="704839AE" w:rsidR="0058301E" w:rsidRDefault="002C0C60" w:rsidP="00955848">
      <w:pPr>
        <w:pStyle w:val="CS-IBMResponseText"/>
      </w:pPr>
      <w:r w:rsidRPr="002C0C60">
        <w:t xml:space="preserve">IBM’s approach to ensuring a continuously more effective set of independent tests focuses on three pillars — </w:t>
      </w:r>
      <w:r w:rsidRPr="002C0C60">
        <w:rPr>
          <w:i/>
          <w:iCs/>
        </w:rPr>
        <w:t>continuous optimization, governance, and innovation</w:t>
      </w:r>
      <w:r w:rsidRPr="002C0C60">
        <w:t xml:space="preserve"> — all achieved without expanding CalSAWS’ resource footprint.</w:t>
      </w:r>
      <w:r w:rsidRPr="002C0C60">
        <w:br/>
        <w:t>By combining AI-driven test optimization, automation maturity, and collaborative governance, IBM enables CalSAWS to increase quality outcomes release after release while maintaining operational efficiency and cost neutrality.</w:t>
      </w:r>
    </w:p>
    <w:p w14:paraId="4C440812" w14:textId="76D4D01C" w:rsidR="00366998" w:rsidRPr="000C7BF6" w:rsidRDefault="00605F42" w:rsidP="00955848">
      <w:pPr>
        <w:pStyle w:val="CS-IBMResponseText"/>
        <w:rPr>
          <w:color w:val="0070C0"/>
          <w:sz w:val="28"/>
          <w:szCs w:val="28"/>
        </w:rPr>
      </w:pPr>
      <w:r w:rsidRPr="000C7BF6">
        <w:rPr>
          <w:color w:val="0070C0"/>
          <w:sz w:val="28"/>
          <w:szCs w:val="28"/>
        </w:rPr>
        <w:t>Continuously Improving Independent QA Function</w:t>
      </w:r>
    </w:p>
    <w:p w14:paraId="539ECA9B" w14:textId="0E4105CB" w:rsidR="00605F42" w:rsidRPr="00F04A91" w:rsidRDefault="00605F42" w:rsidP="00955848">
      <w:pPr>
        <w:pStyle w:val="CS-IBMResponseText"/>
      </w:pPr>
      <w:r w:rsidRPr="00F04A91">
        <w:t>CalSAWS expects an Independent Quality Assurance (IQA) capability that does more than simply validate deliverables</w:t>
      </w:r>
      <w:r w:rsidR="00A7486C">
        <w:t xml:space="preserve">. </w:t>
      </w:r>
      <w:r w:rsidR="00A7486C" w:rsidRPr="00A7486C">
        <w:rPr>
          <w:b/>
          <w:bCs/>
        </w:rPr>
        <w:t>It</w:t>
      </w:r>
      <w:r w:rsidRPr="00A63464">
        <w:rPr>
          <w:b/>
          <w:bCs/>
        </w:rPr>
        <w:t xml:space="preserve"> must continuously strengthen its own effectiveness</w:t>
      </w:r>
      <w:r w:rsidRPr="00F04A91">
        <w:t xml:space="preserve"> </w:t>
      </w:r>
      <w:r w:rsidRPr="005C18CA">
        <w:rPr>
          <w:b/>
          <w:bCs/>
        </w:rPr>
        <w:t>over</w:t>
      </w:r>
      <w:r w:rsidRPr="00F04A91">
        <w:t xml:space="preserve"> </w:t>
      </w:r>
      <w:r w:rsidRPr="005C18CA">
        <w:rPr>
          <w:b/>
          <w:bCs/>
        </w:rPr>
        <w:t>time</w:t>
      </w:r>
      <w:r w:rsidRPr="00F04A91">
        <w:t xml:space="preserve">, improving accuracy, speed, risk visibility, and collaboration across vendors without increasing the resource burden on the Consortium </w:t>
      </w:r>
    </w:p>
    <w:p w14:paraId="6BA97954" w14:textId="1F0C5063" w:rsidR="00605F42" w:rsidRPr="00DB6B1E" w:rsidRDefault="00605F42" w:rsidP="00955848">
      <w:pPr>
        <w:pStyle w:val="CS-IBMResponseText"/>
        <w:rPr>
          <w:i/>
          <w:iCs/>
        </w:rPr>
      </w:pPr>
      <w:r w:rsidRPr="00F04A91">
        <w:t xml:space="preserve">IBM fully aligns with this vision. Our approach ensures that </w:t>
      </w:r>
      <w:r w:rsidRPr="00E332CC">
        <w:rPr>
          <w:b/>
          <w:bCs/>
        </w:rPr>
        <w:t>independent testing evolves</w:t>
      </w:r>
      <w:r w:rsidRPr="00F04A91">
        <w:t xml:space="preserve"> with every release</w:t>
      </w:r>
      <w:r w:rsidR="002C0C60">
        <w:t xml:space="preserve"> </w:t>
      </w:r>
      <w:r w:rsidRPr="00F04A91">
        <w:t xml:space="preserve">becoming smarter, leaner, more automated, and more predictive. By leveraging </w:t>
      </w:r>
      <w:r w:rsidRPr="00282FFF">
        <w:rPr>
          <w:b/>
          <w:bCs/>
        </w:rPr>
        <w:t>AI-driven analytics, automation, test optimization, and governance</w:t>
      </w:r>
      <w:r w:rsidRPr="00F04A91">
        <w:t>, IBM creates a</w:t>
      </w:r>
      <w:r w:rsidRPr="000355B4">
        <w:rPr>
          <w:b/>
          <w:bCs/>
        </w:rPr>
        <w:t xml:space="preserve"> self-reinforcing cycle of quality improvement</w:t>
      </w:r>
      <w:r w:rsidRPr="00F04A91">
        <w:t xml:space="preserve"> that continuously increases value while reducing manual effort </w:t>
      </w:r>
    </w:p>
    <w:p w14:paraId="28A1F71E" w14:textId="7BBB10F4" w:rsidR="00605F42" w:rsidRPr="00895560" w:rsidRDefault="00605F42" w:rsidP="00895560">
      <w:pPr>
        <w:pStyle w:val="CS-IBMResponseText"/>
        <w:rPr>
          <w:b/>
          <w:bCs/>
        </w:rPr>
      </w:pPr>
      <w:r w:rsidRPr="00895560">
        <w:rPr>
          <w:b/>
          <w:bCs/>
        </w:rPr>
        <w:t>Building on the Foundation Established in the previous section</w:t>
      </w:r>
      <w:r w:rsidR="00DB126A">
        <w:rPr>
          <w:b/>
        </w:rPr>
        <w:t xml:space="preserve">, </w:t>
      </w:r>
      <w:r w:rsidR="00DB126A">
        <w:t xml:space="preserve">we now </w:t>
      </w:r>
      <w:r w:rsidR="00047D00">
        <w:t>focus</w:t>
      </w:r>
      <w:r w:rsidR="00DB126A">
        <w:t xml:space="preserve"> on how we continuously improve that baseline, release after release, to deliver higher quality outcomes with fewer resources</w:t>
      </w:r>
      <w:r w:rsidR="00086DD8">
        <w:t>,</w:t>
      </w:r>
      <w:r w:rsidR="00DB126A">
        <w:t xml:space="preserve"> </w:t>
      </w:r>
      <w:r w:rsidR="00DB126A">
        <w:rPr>
          <w:rStyle w:val="Strong"/>
        </w:rPr>
        <w:t>ensuring continuous QA effectiveness without expanding required CalSAWS resources.</w:t>
      </w:r>
    </w:p>
    <w:p w14:paraId="5749EB8A" w14:textId="5804B55B" w:rsidR="000E3995" w:rsidRDefault="00086DD8" w:rsidP="000E3995">
      <w:pPr>
        <w:pStyle w:val="CS-IBMResponseText"/>
        <w:rPr>
          <w:rStyle w:val="Emphasis"/>
          <w:i w:val="0"/>
          <w:iCs w:val="0"/>
        </w:rPr>
      </w:pPr>
      <w:r>
        <w:rPr>
          <w:rStyle w:val="Emphasis"/>
          <w:i w:val="0"/>
          <w:iCs w:val="0"/>
        </w:rPr>
        <w:t>The b</w:t>
      </w:r>
      <w:r w:rsidR="00A12B07" w:rsidRPr="00A12B07">
        <w:rPr>
          <w:rStyle w:val="Emphasis"/>
          <w:i w:val="0"/>
          <w:iCs w:val="0"/>
        </w:rPr>
        <w:t xml:space="preserve">elow table illustrates how IBM evolves the independent QA foundation established in </w:t>
      </w:r>
      <w:r w:rsidR="008B6410">
        <w:rPr>
          <w:rStyle w:val="Emphasis"/>
          <w:i w:val="0"/>
          <w:iCs w:val="0"/>
        </w:rPr>
        <w:t xml:space="preserve">UA 10 to build a continuous more effective set of independent tests without expanding the required CalSAWS resources. </w:t>
      </w:r>
    </w:p>
    <w:p w14:paraId="02BFCA15" w14:textId="28912671" w:rsidR="000E5A21" w:rsidRDefault="000E5A21" w:rsidP="000E5A21">
      <w:pPr>
        <w:pStyle w:val="Caption"/>
        <w:keepNext/>
        <w:jc w:val="center"/>
      </w:pPr>
      <w:bookmarkStart w:id="79" w:name="_Toc212367480"/>
      <w:r>
        <w:t xml:space="preserve">Table 4.4.2. </w:t>
      </w:r>
      <w:r>
        <w:fldChar w:fldCharType="begin"/>
      </w:r>
      <w:r>
        <w:instrText xml:space="preserve"> SEQ Table_4.4.2. \* ARABIC </w:instrText>
      </w:r>
      <w:r>
        <w:fldChar w:fldCharType="separate"/>
      </w:r>
      <w:r w:rsidR="00FB29F8">
        <w:rPr>
          <w:noProof/>
        </w:rPr>
        <w:t>1</w:t>
      </w:r>
      <w:r>
        <w:fldChar w:fldCharType="end"/>
      </w:r>
      <w:r>
        <w:t xml:space="preserve"> Key Shift from foundation-to-Evolution &amp; Maturity</w:t>
      </w:r>
      <w:bookmarkEnd w:id="79"/>
    </w:p>
    <w:tbl>
      <w:tblPr>
        <w:tblStyle w:val="TableGrid"/>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0"/>
        <w:gridCol w:w="6385"/>
      </w:tblGrid>
      <w:tr w:rsidR="00A43C91" w:rsidRPr="00F04A91" w14:paraId="11CC1BD5" w14:textId="77777777" w:rsidTr="00A06CBD">
        <w:trPr>
          <w:cnfStyle w:val="100000000000" w:firstRow="1" w:lastRow="0" w:firstColumn="0" w:lastColumn="0" w:oddVBand="0" w:evenVBand="0" w:oddHBand="0" w:evenHBand="0" w:firstRowFirstColumn="0" w:firstRowLastColumn="0" w:lastRowFirstColumn="0" w:lastRowLastColumn="0"/>
          <w:tblHeader/>
        </w:trPr>
        <w:tc>
          <w:tcPr>
            <w:tcW w:w="2960" w:type="dxa"/>
            <w:shd w:val="clear" w:color="auto" w:fill="0070C0"/>
            <w:hideMark/>
          </w:tcPr>
          <w:p w14:paraId="13CAE72F" w14:textId="27E6C91F" w:rsidR="00605F42" w:rsidRPr="00F04A91" w:rsidRDefault="00605F42" w:rsidP="00E30C95">
            <w:pPr>
              <w:pStyle w:val="CS-IBMTableColumnHeader"/>
              <w:jc w:val="left"/>
            </w:pPr>
            <w:r w:rsidRPr="00F04A91">
              <w:t>Foundation Focus</w:t>
            </w:r>
          </w:p>
        </w:tc>
        <w:tc>
          <w:tcPr>
            <w:tcW w:w="6385" w:type="dxa"/>
            <w:shd w:val="clear" w:color="auto" w:fill="0070C0"/>
            <w:hideMark/>
          </w:tcPr>
          <w:p w14:paraId="6A13B9CF" w14:textId="77777777" w:rsidR="00605F42" w:rsidRPr="00F04A91" w:rsidRDefault="00605F42" w:rsidP="00E30C95">
            <w:pPr>
              <w:pStyle w:val="CS-IBMTableColumnHeader"/>
              <w:jc w:val="left"/>
            </w:pPr>
            <w:r w:rsidRPr="00F04A91">
              <w:t>Evolution and maturity</w:t>
            </w:r>
          </w:p>
        </w:tc>
      </w:tr>
      <w:tr w:rsidR="00D30492" w:rsidRPr="00F04A91" w14:paraId="721004E1" w14:textId="77777777" w:rsidTr="00A06CBD">
        <w:tc>
          <w:tcPr>
            <w:tcW w:w="2960" w:type="dxa"/>
            <w:shd w:val="clear" w:color="auto" w:fill="FFFFFF" w:themeFill="background1"/>
            <w:hideMark/>
          </w:tcPr>
          <w:p w14:paraId="5E5487DA" w14:textId="77777777" w:rsidR="00605F42" w:rsidRPr="00F04A91" w:rsidRDefault="00605F42" w:rsidP="00250478">
            <w:pPr>
              <w:pStyle w:val="CS-IBMTableText"/>
            </w:pPr>
            <w:r w:rsidRPr="00F04A91">
              <w:t>Establish the initial independent test baseline</w:t>
            </w:r>
          </w:p>
        </w:tc>
        <w:tc>
          <w:tcPr>
            <w:tcW w:w="6385" w:type="dxa"/>
            <w:shd w:val="clear" w:color="auto" w:fill="FFFFFF" w:themeFill="background1"/>
            <w:hideMark/>
          </w:tcPr>
          <w:p w14:paraId="6BECAF5A" w14:textId="77777777" w:rsidR="00605F42" w:rsidRPr="00F04A91" w:rsidRDefault="00605F42" w:rsidP="00250478">
            <w:pPr>
              <w:pStyle w:val="CS-IBMTableText"/>
            </w:pPr>
            <w:r w:rsidRPr="00F04A91">
              <w:t>Continuously improve and optimize the baseline</w:t>
            </w:r>
          </w:p>
        </w:tc>
      </w:tr>
      <w:tr w:rsidR="00D30492" w:rsidRPr="00F04A91" w14:paraId="1AAC0D3C" w14:textId="77777777" w:rsidTr="00A06CBD">
        <w:tc>
          <w:tcPr>
            <w:tcW w:w="2960" w:type="dxa"/>
            <w:shd w:val="clear" w:color="auto" w:fill="FFFFFF" w:themeFill="background1"/>
            <w:hideMark/>
          </w:tcPr>
          <w:p w14:paraId="6B982F3C" w14:textId="77777777" w:rsidR="00605F42" w:rsidRPr="00F04A91" w:rsidRDefault="00605F42" w:rsidP="00250478">
            <w:pPr>
              <w:pStyle w:val="CS-IBMTableText"/>
            </w:pPr>
            <w:r w:rsidRPr="00F04A91">
              <w:t>Build governance and alignment</w:t>
            </w:r>
          </w:p>
        </w:tc>
        <w:tc>
          <w:tcPr>
            <w:tcW w:w="6385" w:type="dxa"/>
            <w:shd w:val="clear" w:color="auto" w:fill="FFFFFF" w:themeFill="background1"/>
            <w:hideMark/>
          </w:tcPr>
          <w:p w14:paraId="4859089B" w14:textId="77777777" w:rsidR="00605F42" w:rsidRPr="00F04A91" w:rsidRDefault="00605F42" w:rsidP="00250478">
            <w:pPr>
              <w:pStyle w:val="CS-IBMTableText"/>
            </w:pPr>
            <w:r w:rsidRPr="00F04A91">
              <w:t>Use governance to measure effectiveness and drive maturity</w:t>
            </w:r>
          </w:p>
        </w:tc>
      </w:tr>
      <w:tr w:rsidR="00D30492" w:rsidRPr="00F04A91" w14:paraId="43D04693" w14:textId="77777777" w:rsidTr="00A06CBD">
        <w:tc>
          <w:tcPr>
            <w:tcW w:w="2960" w:type="dxa"/>
            <w:shd w:val="clear" w:color="auto" w:fill="FFFFFF" w:themeFill="background1"/>
            <w:hideMark/>
          </w:tcPr>
          <w:p w14:paraId="558471FD" w14:textId="77777777" w:rsidR="00605F42" w:rsidRPr="00F04A91" w:rsidRDefault="00605F42" w:rsidP="00250478">
            <w:pPr>
              <w:pStyle w:val="CS-IBMTableText"/>
            </w:pPr>
            <w:r w:rsidRPr="00F04A91">
              <w:t>Stand up test data processes</w:t>
            </w:r>
          </w:p>
        </w:tc>
        <w:tc>
          <w:tcPr>
            <w:tcW w:w="6385" w:type="dxa"/>
            <w:shd w:val="clear" w:color="auto" w:fill="FFFFFF" w:themeFill="background1"/>
            <w:hideMark/>
          </w:tcPr>
          <w:p w14:paraId="5515E3C8" w14:textId="77777777" w:rsidR="00605F42" w:rsidRPr="00F04A91" w:rsidRDefault="00605F42" w:rsidP="00250478">
            <w:pPr>
              <w:pStyle w:val="CS-IBMTableText"/>
            </w:pPr>
            <w:r w:rsidRPr="00F04A91">
              <w:t>Continuously refine, evolve, and automate data</w:t>
            </w:r>
          </w:p>
        </w:tc>
      </w:tr>
      <w:tr w:rsidR="00D30492" w:rsidRPr="00F04A91" w14:paraId="69B6AB2C" w14:textId="77777777" w:rsidTr="00A06CBD">
        <w:tc>
          <w:tcPr>
            <w:tcW w:w="2960" w:type="dxa"/>
            <w:shd w:val="clear" w:color="auto" w:fill="FFFFFF" w:themeFill="background1"/>
            <w:hideMark/>
          </w:tcPr>
          <w:p w14:paraId="283043DB" w14:textId="77777777" w:rsidR="00605F42" w:rsidRPr="00F04A91" w:rsidRDefault="00605F42" w:rsidP="00250478">
            <w:pPr>
              <w:pStyle w:val="CS-IBMTableText"/>
            </w:pPr>
            <w:r w:rsidRPr="00F04A91">
              <w:lastRenderedPageBreak/>
              <w:t>Enable collaboration</w:t>
            </w:r>
          </w:p>
        </w:tc>
        <w:tc>
          <w:tcPr>
            <w:tcW w:w="6385" w:type="dxa"/>
            <w:shd w:val="clear" w:color="auto" w:fill="FFFFFF" w:themeFill="background1"/>
            <w:hideMark/>
          </w:tcPr>
          <w:p w14:paraId="5EA7E2DA" w14:textId="77777777" w:rsidR="00605F42" w:rsidRPr="00F04A91" w:rsidRDefault="00605F42" w:rsidP="00250478">
            <w:pPr>
              <w:pStyle w:val="CS-IBMTableText"/>
            </w:pPr>
            <w:r w:rsidRPr="00F04A91">
              <w:t>Institutionalize cross-vendor improvement cycles</w:t>
            </w:r>
          </w:p>
        </w:tc>
      </w:tr>
      <w:tr w:rsidR="00D30492" w:rsidRPr="00F04A91" w14:paraId="29B31FA0" w14:textId="77777777" w:rsidTr="00A06CBD">
        <w:tc>
          <w:tcPr>
            <w:tcW w:w="2960" w:type="dxa"/>
            <w:shd w:val="clear" w:color="auto" w:fill="FFFFFF" w:themeFill="background1"/>
            <w:hideMark/>
          </w:tcPr>
          <w:p w14:paraId="1FD198FE" w14:textId="77777777" w:rsidR="00605F42" w:rsidRPr="00F04A91" w:rsidRDefault="00605F42" w:rsidP="00250478">
            <w:pPr>
              <w:pStyle w:val="CS-IBMTableText"/>
            </w:pPr>
            <w:r w:rsidRPr="00F04A91">
              <w:t>Create transparency</w:t>
            </w:r>
          </w:p>
        </w:tc>
        <w:tc>
          <w:tcPr>
            <w:tcW w:w="6385" w:type="dxa"/>
            <w:shd w:val="clear" w:color="auto" w:fill="FFFFFF" w:themeFill="background1"/>
            <w:hideMark/>
          </w:tcPr>
          <w:p w14:paraId="46E7123A" w14:textId="77777777" w:rsidR="00605F42" w:rsidRPr="00F04A91" w:rsidRDefault="00605F42" w:rsidP="00250478">
            <w:pPr>
              <w:pStyle w:val="CS-IBMTableText"/>
            </w:pPr>
            <w:r w:rsidRPr="00F04A91">
              <w:t>Use metrics and dashboards to proactively optimize</w:t>
            </w:r>
          </w:p>
        </w:tc>
      </w:tr>
    </w:tbl>
    <w:p w14:paraId="0A0C232F" w14:textId="77777777" w:rsidR="00605F42" w:rsidRPr="00250478" w:rsidRDefault="00605F42" w:rsidP="00955848">
      <w:pPr>
        <w:pStyle w:val="CS-IBMResponseText"/>
        <w:rPr>
          <w:b/>
          <w:bCs/>
        </w:rPr>
      </w:pPr>
      <w:r w:rsidRPr="00250478">
        <w:rPr>
          <w:b/>
          <w:bCs/>
        </w:rPr>
        <w:t>Guiding Principles for Continuous Test Effectiveness</w:t>
      </w:r>
    </w:p>
    <w:p w14:paraId="0EAE7926" w14:textId="6AEE4041" w:rsidR="00605F42" w:rsidRPr="00F04A91" w:rsidRDefault="00605F42" w:rsidP="00955848">
      <w:pPr>
        <w:pStyle w:val="CS-IBMResponseText"/>
      </w:pPr>
      <w:r w:rsidRPr="00F04A91">
        <w:t>IBM’s continuous improvement strategy is rooted in three core principles (IBM Original Response three overarching principles):</w:t>
      </w:r>
    </w:p>
    <w:p w14:paraId="4BFECC55" w14:textId="4A5A87BC" w:rsidR="00605F42" w:rsidRPr="00FF3793" w:rsidRDefault="00605F42" w:rsidP="00BC2E56">
      <w:pPr>
        <w:pStyle w:val="CS-IBMBullet1"/>
        <w:keepNext/>
        <w:rPr>
          <w:b/>
          <w:bCs/>
        </w:rPr>
      </w:pPr>
      <w:r w:rsidRPr="00FF3793">
        <w:rPr>
          <w:b/>
          <w:bCs/>
        </w:rPr>
        <w:t>Continuous Learning</w:t>
      </w:r>
      <w:r w:rsidRPr="00FF3793">
        <w:rPr>
          <w:b/>
          <w:bCs/>
          <w:i/>
          <w:iCs/>
        </w:rPr>
        <w:t xml:space="preserve"> </w:t>
      </w:r>
    </w:p>
    <w:p w14:paraId="08F1B917" w14:textId="73B42132" w:rsidR="00605F42" w:rsidRPr="00F04A91" w:rsidRDefault="00605F42" w:rsidP="00FF3793">
      <w:pPr>
        <w:pStyle w:val="CS-IBMBullet1"/>
        <w:numPr>
          <w:ilvl w:val="0"/>
          <w:numId w:val="0"/>
        </w:numPr>
        <w:ind w:left="357"/>
      </w:pPr>
      <w:r w:rsidRPr="00F04A91">
        <w:t>Every release informs the next.</w:t>
      </w:r>
      <w:r w:rsidR="007207D5">
        <w:t xml:space="preserve"> </w:t>
      </w:r>
      <w:r w:rsidRPr="00F04A91">
        <w:t>We capture lessons learned, analyze defects, identify trends, and feed insights back into test design, processes, and data to improve both efficiency and coverage.</w:t>
      </w:r>
    </w:p>
    <w:p w14:paraId="5934E00C" w14:textId="04F538FF" w:rsidR="00605F42" w:rsidRPr="00650C05" w:rsidRDefault="00605F42" w:rsidP="00650C05">
      <w:pPr>
        <w:pStyle w:val="CS-IBMBullet1"/>
        <w:rPr>
          <w:i/>
          <w:iCs/>
        </w:rPr>
      </w:pPr>
      <w:r w:rsidRPr="00650C05">
        <w:rPr>
          <w:b/>
          <w:bCs/>
        </w:rPr>
        <w:t>Continuous Optimization</w:t>
      </w:r>
    </w:p>
    <w:p w14:paraId="5C841A6D" w14:textId="77777777" w:rsidR="00605F42" w:rsidRPr="00F04A91" w:rsidRDefault="00605F42" w:rsidP="00650C05">
      <w:pPr>
        <w:pStyle w:val="CS-IBMBullet1"/>
        <w:numPr>
          <w:ilvl w:val="0"/>
          <w:numId w:val="0"/>
        </w:numPr>
        <w:ind w:left="357"/>
      </w:pPr>
      <w:r w:rsidRPr="00F04A91">
        <w:t>Test assets, test data, and automation are continuously refined to:</w:t>
      </w:r>
    </w:p>
    <w:p w14:paraId="52F6C148" w14:textId="77777777" w:rsidR="00605F42" w:rsidRPr="00F04A91" w:rsidRDefault="00605F42" w:rsidP="00650C05">
      <w:pPr>
        <w:pStyle w:val="CS-IBMBullet2"/>
      </w:pPr>
      <w:r w:rsidRPr="00F04A91">
        <w:t>Remove redundancy</w:t>
      </w:r>
    </w:p>
    <w:p w14:paraId="5F61C065" w14:textId="77777777" w:rsidR="00605F42" w:rsidRPr="00F04A91" w:rsidRDefault="00605F42" w:rsidP="00650C05">
      <w:pPr>
        <w:pStyle w:val="CS-IBMBullet2"/>
      </w:pPr>
      <w:r w:rsidRPr="00F04A91">
        <w:t>Increase coverage in high-risk areas</w:t>
      </w:r>
    </w:p>
    <w:p w14:paraId="441EC958" w14:textId="77777777" w:rsidR="00605F42" w:rsidRPr="00F04A91" w:rsidRDefault="00605F42" w:rsidP="00650C05">
      <w:pPr>
        <w:pStyle w:val="CS-IBMBullet2"/>
      </w:pPr>
      <w:r w:rsidRPr="00F04A91">
        <w:t>Improve accuracy and maintainability</w:t>
      </w:r>
    </w:p>
    <w:p w14:paraId="6C1F08F6" w14:textId="77777777" w:rsidR="00605F42" w:rsidRPr="00F04A91" w:rsidRDefault="00605F42" w:rsidP="00650C05">
      <w:pPr>
        <w:pStyle w:val="CS-IBMBullet2"/>
      </w:pPr>
      <w:r w:rsidRPr="00F04A91">
        <w:t>Accelerate execution and reduce manual effort</w:t>
      </w:r>
    </w:p>
    <w:p w14:paraId="2622BCEE" w14:textId="1B482423" w:rsidR="00605F42" w:rsidRPr="00F04A91" w:rsidRDefault="00605F42" w:rsidP="00BC2E56">
      <w:pPr>
        <w:pStyle w:val="CS-IBMBullet1"/>
      </w:pPr>
      <w:r w:rsidRPr="00BC2E56">
        <w:rPr>
          <w:b/>
          <w:bCs/>
        </w:rPr>
        <w:t>Continuous Governance</w:t>
      </w:r>
      <w:r w:rsidRPr="00F04A91">
        <w:t xml:space="preserve"> </w:t>
      </w:r>
    </w:p>
    <w:p w14:paraId="1DB6CDE8" w14:textId="77777777" w:rsidR="00605F42" w:rsidRPr="00BA303D" w:rsidRDefault="00605F42" w:rsidP="00BC2E56">
      <w:pPr>
        <w:pStyle w:val="CS-IBMBullet1"/>
        <w:numPr>
          <w:ilvl w:val="0"/>
          <w:numId w:val="0"/>
        </w:numPr>
        <w:ind w:left="357"/>
        <w:rPr>
          <w:b/>
          <w:bCs/>
        </w:rPr>
      </w:pPr>
      <w:r w:rsidRPr="00F04A91">
        <w:t xml:space="preserve">We embed QA maturity reviews, metric tracking, and collaborative decision-making into the governance framework to ensure that improvements are </w:t>
      </w:r>
      <w:r w:rsidRPr="00BA303D">
        <w:rPr>
          <w:b/>
          <w:bCs/>
        </w:rPr>
        <w:t>measured, benchmarked, and institutionalized across vendors.</w:t>
      </w:r>
    </w:p>
    <w:p w14:paraId="0905EFC9" w14:textId="6BC15030" w:rsidR="00605F42" w:rsidRPr="00F04A91" w:rsidRDefault="00AA38CE" w:rsidP="00BA303D">
      <w:pPr>
        <w:pStyle w:val="CS-IBMBullet1"/>
        <w:numPr>
          <w:ilvl w:val="0"/>
          <w:numId w:val="0"/>
        </w:numPr>
        <w:ind w:left="357"/>
      </w:pPr>
      <w:r w:rsidRPr="00AA38CE">
        <w:t xml:space="preserve">The </w:t>
      </w:r>
      <w:r w:rsidRPr="008240C8">
        <w:rPr>
          <w:b/>
          <w:bCs/>
        </w:rPr>
        <w:t>result</w:t>
      </w:r>
      <w:r w:rsidRPr="00AA38CE">
        <w:t xml:space="preserve"> is</w:t>
      </w:r>
      <w:r w:rsidR="00605F42" w:rsidRPr="00F04A91">
        <w:t xml:space="preserve"> QA becomes a living ecosystem that learns and improves over time, increasing value release after release—without adding CalSAWS staff or </w:t>
      </w:r>
      <w:r w:rsidR="004030E0" w:rsidRPr="00F04A91">
        <w:t>cost</w:t>
      </w:r>
      <w:r w:rsidR="004030E0" w:rsidRPr="008273E9">
        <w:rPr>
          <w:i/>
          <w:iCs/>
          <w:color w:val="EE0000"/>
        </w:rPr>
        <w:t>.</w:t>
      </w:r>
    </w:p>
    <w:p w14:paraId="04686CC2" w14:textId="77777777" w:rsidR="00605F42" w:rsidRPr="00BA303D" w:rsidRDefault="00605F42" w:rsidP="00955848">
      <w:pPr>
        <w:pStyle w:val="CS-IBMResponseText"/>
        <w:rPr>
          <w:b/>
          <w:bCs/>
        </w:rPr>
      </w:pPr>
      <w:r w:rsidRPr="00BA303D">
        <w:rPr>
          <w:b/>
          <w:bCs/>
        </w:rPr>
        <w:t>How IBM Ensures Continuous Improvement Without Expanding CalSAWS Resources</w:t>
      </w:r>
    </w:p>
    <w:p w14:paraId="4D54EAD2" w14:textId="74656B39" w:rsidR="00605F42" w:rsidRPr="00BA303D" w:rsidRDefault="00605F42" w:rsidP="00955848">
      <w:pPr>
        <w:pStyle w:val="CS-IBMResponseText"/>
        <w:rPr>
          <w:i/>
          <w:iCs/>
        </w:rPr>
      </w:pPr>
      <w:r w:rsidRPr="00F04A91">
        <w:t xml:space="preserve">IBM achieves greater effectiveness without increasing </w:t>
      </w:r>
      <w:r w:rsidR="00E91CB2">
        <w:t xml:space="preserve">CalSAWS’ </w:t>
      </w:r>
      <w:r w:rsidRPr="00F04A91">
        <w:t>resource demand through four strategic enablers</w:t>
      </w:r>
      <w:r w:rsidR="00E91CB2">
        <w:t>. The</w:t>
      </w:r>
      <w:r w:rsidR="008240C8">
        <w:t xml:space="preserve"> strategic enablers</w:t>
      </w:r>
      <w:r w:rsidR="00E91CB2">
        <w:t xml:space="preserve"> are as follows:</w:t>
      </w:r>
    </w:p>
    <w:p w14:paraId="4DC1692F" w14:textId="5D40B410" w:rsidR="00605F42" w:rsidRPr="008273E9" w:rsidRDefault="00605F42" w:rsidP="005675F3">
      <w:pPr>
        <w:pStyle w:val="CS-IBMBullet1"/>
        <w:numPr>
          <w:ilvl w:val="0"/>
          <w:numId w:val="0"/>
        </w:numPr>
        <w:ind w:left="360" w:hanging="360"/>
        <w:rPr>
          <w:i/>
          <w:iCs/>
          <w:color w:val="EE0000"/>
        </w:rPr>
      </w:pPr>
    </w:p>
    <w:p w14:paraId="14D06E9D" w14:textId="77777777" w:rsidR="00002EB5" w:rsidRPr="00005790" w:rsidRDefault="00002EB5" w:rsidP="00CF7600">
      <w:pPr>
        <w:pStyle w:val="ListParagraph"/>
        <w:numPr>
          <w:ilvl w:val="0"/>
          <w:numId w:val="54"/>
        </w:numPr>
        <w:spacing w:before="0" w:after="0"/>
        <w:ind w:left="720"/>
        <w:rPr>
          <w:b/>
          <w:bCs/>
        </w:rPr>
      </w:pPr>
      <w:r w:rsidRPr="00005790">
        <w:rPr>
          <w:b/>
          <w:bCs/>
        </w:rPr>
        <w:t>Automation-First Execution</w:t>
      </w:r>
    </w:p>
    <w:p w14:paraId="1B302B91" w14:textId="17EB6366" w:rsidR="00002EB5" w:rsidRPr="00005790" w:rsidRDefault="00002EB5" w:rsidP="00005790">
      <w:pPr>
        <w:spacing w:before="0" w:after="0"/>
        <w:ind w:left="360"/>
      </w:pPr>
      <w:r w:rsidRPr="00005790">
        <w:t xml:space="preserve">Automation is the backbone of continuous improvement. IBM expands automation </w:t>
      </w:r>
      <w:r w:rsidR="00B1138B" w:rsidRPr="00005790">
        <w:t>coverage for</w:t>
      </w:r>
      <w:r w:rsidRPr="00005790">
        <w:t xml:space="preserve"> each release and leverages AI-driven self-healing scripts to minimize maintenance. Integrated with CI/CD pipelines, automation validates </w:t>
      </w:r>
      <w:r w:rsidR="00710DB8" w:rsidRPr="00005790">
        <w:t>continuously reducing</w:t>
      </w:r>
      <w:r w:rsidRPr="00005790">
        <w:t xml:space="preserve"> manual intervention and ensuring quality at speed.</w:t>
      </w:r>
    </w:p>
    <w:p w14:paraId="6088B3D4" w14:textId="77777777" w:rsidR="005675F3" w:rsidRPr="00005790" w:rsidRDefault="005675F3" w:rsidP="00005790">
      <w:pPr>
        <w:spacing w:before="0" w:after="0"/>
      </w:pPr>
    </w:p>
    <w:p w14:paraId="22042BCD" w14:textId="77777777" w:rsidR="00002EB5" w:rsidRPr="00005790" w:rsidRDefault="00002EB5" w:rsidP="00CF7600">
      <w:pPr>
        <w:pStyle w:val="ListParagraph"/>
        <w:numPr>
          <w:ilvl w:val="0"/>
          <w:numId w:val="55"/>
        </w:numPr>
        <w:spacing w:before="0" w:after="0"/>
        <w:ind w:left="720"/>
        <w:rPr>
          <w:b/>
          <w:bCs/>
        </w:rPr>
      </w:pPr>
      <w:r w:rsidRPr="00005790">
        <w:rPr>
          <w:b/>
          <w:bCs/>
        </w:rPr>
        <w:t>AI-Driven Optimization</w:t>
      </w:r>
    </w:p>
    <w:p w14:paraId="15110DF3" w14:textId="77777777" w:rsidR="00002EB5" w:rsidRPr="00005790" w:rsidRDefault="00002EB5" w:rsidP="00005790">
      <w:pPr>
        <w:spacing w:before="0" w:after="0"/>
        <w:ind w:left="360"/>
      </w:pPr>
      <w:r w:rsidRPr="00005790">
        <w:t>IBM applies Natural Language Processing (NLP), clustering, and predictive analytics to:</w:t>
      </w:r>
    </w:p>
    <w:p w14:paraId="4A50D8C7" w14:textId="77777777" w:rsidR="00002EB5" w:rsidRPr="00005790" w:rsidRDefault="00002EB5" w:rsidP="00CF7600">
      <w:pPr>
        <w:pStyle w:val="ListParagraph"/>
        <w:numPr>
          <w:ilvl w:val="0"/>
          <w:numId w:val="56"/>
        </w:numPr>
        <w:spacing w:before="0" w:after="0"/>
        <w:ind w:left="1440"/>
      </w:pPr>
      <w:r w:rsidRPr="00005790">
        <w:t>Identify redundant or low-value tests</w:t>
      </w:r>
    </w:p>
    <w:p w14:paraId="1A99184C" w14:textId="77777777" w:rsidR="00002EB5" w:rsidRPr="00005790" w:rsidRDefault="00002EB5" w:rsidP="00CF7600">
      <w:pPr>
        <w:pStyle w:val="ListParagraph"/>
        <w:numPr>
          <w:ilvl w:val="0"/>
          <w:numId w:val="56"/>
        </w:numPr>
        <w:spacing w:before="0" w:after="0"/>
        <w:ind w:left="1440"/>
      </w:pPr>
      <w:r w:rsidRPr="00005790">
        <w:t>Prioritize high-risk scenarios</w:t>
      </w:r>
    </w:p>
    <w:p w14:paraId="7E45D274" w14:textId="5720376C" w:rsidR="00002EB5" w:rsidRDefault="00002EB5" w:rsidP="00CF7600">
      <w:pPr>
        <w:pStyle w:val="ListParagraph"/>
        <w:numPr>
          <w:ilvl w:val="0"/>
          <w:numId w:val="56"/>
        </w:numPr>
        <w:spacing w:before="0" w:after="0"/>
        <w:ind w:left="1440"/>
      </w:pPr>
      <w:r w:rsidRPr="00005790">
        <w:t>Apply intelligent test selection based on code changes</w:t>
      </w:r>
      <w:r w:rsidRPr="00005790">
        <w:br/>
        <w:t>This approach ensures testing remains lean and high impact.</w:t>
      </w:r>
    </w:p>
    <w:p w14:paraId="3B1B31ED" w14:textId="77777777" w:rsidR="00005790" w:rsidRDefault="00005790" w:rsidP="00005790">
      <w:pPr>
        <w:spacing w:before="0" w:after="0"/>
        <w:ind w:left="360"/>
      </w:pPr>
    </w:p>
    <w:p w14:paraId="348CE58F" w14:textId="77777777" w:rsidR="00005790" w:rsidRDefault="00005790" w:rsidP="00005790">
      <w:pPr>
        <w:spacing w:before="0" w:after="0"/>
        <w:ind w:left="360"/>
      </w:pPr>
    </w:p>
    <w:p w14:paraId="2D756A9A" w14:textId="77777777" w:rsidR="00005790" w:rsidRPr="00005790" w:rsidRDefault="00005790" w:rsidP="00005790">
      <w:pPr>
        <w:spacing w:before="0" w:after="0"/>
        <w:ind w:left="360"/>
      </w:pPr>
    </w:p>
    <w:p w14:paraId="700DC271" w14:textId="77777777" w:rsidR="00002EB5" w:rsidRPr="00005790" w:rsidRDefault="00002EB5" w:rsidP="00CF7600">
      <w:pPr>
        <w:pStyle w:val="ListParagraph"/>
        <w:numPr>
          <w:ilvl w:val="0"/>
          <w:numId w:val="57"/>
        </w:numPr>
        <w:spacing w:before="0" w:after="0"/>
        <w:ind w:left="720"/>
        <w:rPr>
          <w:b/>
          <w:bCs/>
        </w:rPr>
      </w:pPr>
      <w:r w:rsidRPr="00005790">
        <w:rPr>
          <w:b/>
          <w:bCs/>
        </w:rPr>
        <w:t>Standardization and Reusability</w:t>
      </w:r>
    </w:p>
    <w:p w14:paraId="5652004D" w14:textId="77777777" w:rsidR="00002EB5" w:rsidRPr="00005790" w:rsidRDefault="00002EB5" w:rsidP="00005790">
      <w:pPr>
        <w:spacing w:before="0" w:after="0"/>
        <w:ind w:left="360"/>
      </w:pPr>
      <w:r w:rsidRPr="00005790">
        <w:t>IBM institutionalizes standard QA processes across all vendors and develops reusable templates, datasets, and frameworks. Continuous reuse of enhanced assets reduces ramp-up time and ensures consistent execution quality.</w:t>
      </w:r>
    </w:p>
    <w:p w14:paraId="17DB317A" w14:textId="0C4AA114" w:rsidR="005675F3" w:rsidRPr="00005790" w:rsidRDefault="005675F3" w:rsidP="00005790">
      <w:pPr>
        <w:spacing w:before="0" w:after="0"/>
      </w:pPr>
    </w:p>
    <w:p w14:paraId="4F05E39F" w14:textId="77777777" w:rsidR="00002EB5" w:rsidRPr="00005790" w:rsidRDefault="00002EB5" w:rsidP="00CF7600">
      <w:pPr>
        <w:pStyle w:val="ListParagraph"/>
        <w:numPr>
          <w:ilvl w:val="0"/>
          <w:numId w:val="58"/>
        </w:numPr>
        <w:spacing w:before="0" w:after="0"/>
        <w:ind w:left="720"/>
        <w:rPr>
          <w:b/>
          <w:bCs/>
        </w:rPr>
      </w:pPr>
      <w:r w:rsidRPr="00005790">
        <w:rPr>
          <w:b/>
          <w:bCs/>
        </w:rPr>
        <w:t>Knowledge Transfer and Uplift</w:t>
      </w:r>
    </w:p>
    <w:p w14:paraId="63F07F27" w14:textId="58F6323F" w:rsidR="00002EB5" w:rsidRPr="00005790" w:rsidRDefault="00002EB5" w:rsidP="00005790">
      <w:pPr>
        <w:spacing w:before="0" w:after="0"/>
        <w:ind w:left="360"/>
      </w:pPr>
      <w:r w:rsidRPr="00005790">
        <w:t>Through structured QA Learning Labs, IBM enables CalSAWS and vendor teams to interpret dashboards, use predictive insights, and participate in improvement cycles enhancing visibility without increasing workload.</w:t>
      </w:r>
    </w:p>
    <w:p w14:paraId="405C747E" w14:textId="5651AA3E" w:rsidR="00605F42" w:rsidRPr="00F04A91" w:rsidRDefault="00E97E0B" w:rsidP="00005790">
      <w:pPr>
        <w:pStyle w:val="CS-IBMResponseText"/>
        <w:tabs>
          <w:tab w:val="left" w:pos="2610"/>
        </w:tabs>
      </w:pPr>
      <w:r>
        <w:rPr>
          <w:noProof/>
        </w:rPr>
        <mc:AlternateContent>
          <mc:Choice Requires="wps">
            <w:drawing>
              <wp:anchor distT="0" distB="0" distL="114300" distR="114300" simplePos="0" relativeHeight="251658274" behindDoc="0" locked="0" layoutInCell="1" allowOverlap="1" wp14:anchorId="19EAB22A" wp14:editId="3DF64EED">
                <wp:simplePos x="0" y="0"/>
                <wp:positionH relativeFrom="column">
                  <wp:posOffset>848327</wp:posOffset>
                </wp:positionH>
                <wp:positionV relativeFrom="paragraph">
                  <wp:posOffset>2735580</wp:posOffset>
                </wp:positionV>
                <wp:extent cx="4251325" cy="635"/>
                <wp:effectExtent l="0" t="0" r="3175" b="0"/>
                <wp:wrapTopAndBottom/>
                <wp:docPr id="226042313" name="Text Box 1"/>
                <wp:cNvGraphicFramePr/>
                <a:graphic xmlns:a="http://schemas.openxmlformats.org/drawingml/2006/main">
                  <a:graphicData uri="http://schemas.microsoft.com/office/word/2010/wordprocessingShape">
                    <wps:wsp>
                      <wps:cNvSpPr txBox="1"/>
                      <wps:spPr>
                        <a:xfrm>
                          <a:off x="0" y="0"/>
                          <a:ext cx="4251325" cy="635"/>
                        </a:xfrm>
                        <a:prstGeom prst="rect">
                          <a:avLst/>
                        </a:prstGeom>
                        <a:solidFill>
                          <a:prstClr val="white"/>
                        </a:solidFill>
                        <a:ln>
                          <a:noFill/>
                        </a:ln>
                      </wps:spPr>
                      <wps:txbx>
                        <w:txbxContent>
                          <w:p w14:paraId="0CB14420" w14:textId="5F00F2B8" w:rsidR="00E97E0B" w:rsidRPr="00BD153F" w:rsidRDefault="00E97E0B" w:rsidP="00E97E0B">
                            <w:pPr>
                              <w:pStyle w:val="Caption"/>
                              <w:jc w:val="center"/>
                              <w:rPr>
                                <w:rFonts w:cs="Arial"/>
                                <w:noProof/>
                                <w:color w:val="0D0D0D" w:themeColor="text1" w:themeTint="F2"/>
                                <w:sz w:val="22"/>
                                <w:szCs w:val="21"/>
                              </w:rPr>
                            </w:pPr>
                            <w:bookmarkStart w:id="80" w:name="_Toc213068738"/>
                            <w:r>
                              <w:t xml:space="preserve">Figure 4.4.2. </w:t>
                            </w:r>
                            <w:r>
                              <w:fldChar w:fldCharType="begin"/>
                            </w:r>
                            <w:r>
                              <w:instrText xml:space="preserve"> SEQ Figure_4.4.2. \* ARABIC </w:instrText>
                            </w:r>
                            <w:r>
                              <w:fldChar w:fldCharType="separate"/>
                            </w:r>
                            <w:r>
                              <w:rPr>
                                <w:noProof/>
                              </w:rPr>
                              <w:t>1</w:t>
                            </w:r>
                            <w:r>
                              <w:fldChar w:fldCharType="end"/>
                            </w:r>
                            <w:r>
                              <w:t xml:space="preserve"> Continuous QA Value Increase Without Added Resources</w:t>
                            </w:r>
                            <w:bookmarkEnd w:id="8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9EAB22A" id="_x0000_s1042" type="#_x0000_t202" style="position:absolute;margin-left:66.8pt;margin-top:215.4pt;width:334.75pt;height:.05pt;z-index:25165827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" stroked="f">
                <v:textbox style="mso-fit-shape-to-text:t" inset="0,0,0,0">
                  <w:txbxContent>
                    <w:p w14:paraId="0CB14420" w14:textId="5F00F2B8" w:rsidR="00E97E0B" w:rsidRPr="00BD153F" w:rsidRDefault="00E97E0B" w:rsidP="00E97E0B">
                      <w:pPr>
                        <w:pStyle w:val="Caption"/>
                        <w:jc w:val="center"/>
                        <w:rPr>
                          <w:rFonts w:cs="Arial"/>
                          <w:noProof/>
                          <w:color w:val="0D0D0D" w:themeColor="text1" w:themeTint="F2"/>
                          <w:sz w:val="22"/>
                          <w:szCs w:val="21"/>
                        </w:rPr>
                      </w:pPr>
                      <w:bookmarkStart w:id="81" w:name="_Toc213068738"/>
                      <w:r>
                        <w:t xml:space="preserve">Figure 4.4.2. </w:t>
                      </w:r>
                      <w:r>
                        <w:fldChar w:fldCharType="begin"/>
                      </w:r>
                      <w:r>
                        <w:instrText xml:space="preserve"> SEQ Figure_4.4.2. \* ARABIC </w:instrText>
                      </w:r>
                      <w:r>
                        <w:fldChar w:fldCharType="separate"/>
                      </w:r>
                      <w:r>
                        <w:rPr>
                          <w:noProof/>
                        </w:rPr>
                        <w:t>1</w:t>
                      </w:r>
                      <w:r>
                        <w:fldChar w:fldCharType="end"/>
                      </w:r>
                      <w:r>
                        <w:t xml:space="preserve"> Continuous QA Value Increase Without Added Resources</w:t>
                      </w:r>
                      <w:bookmarkEnd w:id="81"/>
                    </w:p>
                  </w:txbxContent>
                </v:textbox>
                <w10:wrap type="topAndBottom"/>
              </v:shape>
            </w:pict>
          </mc:Fallback>
        </mc:AlternateContent>
      </w:r>
      <w:r w:rsidR="00605F42" w:rsidRPr="00035641">
        <w:rPr>
          <w:b/>
          <w:bCs/>
        </w:rPr>
        <w:t>Outcome</w:t>
      </w:r>
      <w:r w:rsidR="00605F42" w:rsidRPr="00F04A91">
        <w:t>: Higher quality, faster testing, and better insight—without adding manpower from CalSAWS</w:t>
      </w:r>
      <w:r w:rsidR="000C2EAC" w:rsidRPr="000C2EAC">
        <w:rPr>
          <w:i/>
          <w:iCs/>
          <w:highlight w:val="yellow"/>
        </w:rPr>
        <w:t xml:space="preserve"> </w:t>
      </w:r>
    </w:p>
    <w:p w14:paraId="35EDDE57" w14:textId="7A98E337" w:rsidR="00605F42" w:rsidRPr="00BE35EF" w:rsidRDefault="00D83DEA" w:rsidP="00955848">
      <w:pPr>
        <w:pStyle w:val="CS-IBMResponseText"/>
        <w:rPr>
          <w:b/>
          <w:bCs/>
        </w:rPr>
      </w:pPr>
      <w:r>
        <w:rPr>
          <w:i/>
          <w:iCs/>
          <w:noProof/>
        </w:rPr>
        <w:drawing>
          <wp:anchor distT="0" distB="0" distL="114300" distR="114300" simplePos="0" relativeHeight="251658257" behindDoc="0" locked="0" layoutInCell="1" allowOverlap="1" wp14:anchorId="5A679672" wp14:editId="5FAE980C">
            <wp:simplePos x="0" y="0"/>
            <wp:positionH relativeFrom="column">
              <wp:posOffset>1149985</wp:posOffset>
            </wp:positionH>
            <wp:positionV relativeFrom="paragraph">
              <wp:posOffset>445</wp:posOffset>
            </wp:positionV>
            <wp:extent cx="3317875" cy="2185670"/>
            <wp:effectExtent l="0" t="0" r="0" b="0"/>
            <wp:wrapTopAndBottom/>
            <wp:docPr id="1058460057" name="Picture 13" descr="A graph with blue lines and green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460057" name="Picture 13" descr="A graph with blue lines and green text&#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317875" cy="2185670"/>
                    </a:xfrm>
                    <a:prstGeom prst="rect">
                      <a:avLst/>
                    </a:prstGeom>
                  </pic:spPr>
                </pic:pic>
              </a:graphicData>
            </a:graphic>
            <wp14:sizeRelH relativeFrom="page">
              <wp14:pctWidth>0</wp14:pctWidth>
            </wp14:sizeRelH>
            <wp14:sizeRelV relativeFrom="page">
              <wp14:pctHeight>0</wp14:pctHeight>
            </wp14:sizeRelV>
          </wp:anchor>
        </w:drawing>
      </w:r>
      <w:r w:rsidR="00605F42" w:rsidRPr="00BE35EF">
        <w:rPr>
          <w:b/>
          <w:bCs/>
        </w:rPr>
        <w:t>Continuous QA Maturity and Efficiency</w:t>
      </w:r>
    </w:p>
    <w:p w14:paraId="60260000" w14:textId="39E64952" w:rsidR="00605F42" w:rsidRPr="00F04A91" w:rsidRDefault="00605F42" w:rsidP="00955848">
      <w:pPr>
        <w:pStyle w:val="CS-IBMResponseText"/>
      </w:pPr>
      <w:r w:rsidRPr="00F04A91">
        <w:t>IBM’s approach ensures that Independent QA becomes more effective, more efficient, and more predictive each release cycle, using a structured feedback and optimization loop</w:t>
      </w:r>
      <w:r w:rsidR="000C2FAB">
        <w:t>.</w:t>
      </w:r>
    </w:p>
    <w:p w14:paraId="2CDAEE39" w14:textId="5DEC9443" w:rsidR="00605F42" w:rsidRPr="00F04A91" w:rsidRDefault="00605F42" w:rsidP="00955848">
      <w:pPr>
        <w:pStyle w:val="CS-IBMResponseText"/>
      </w:pPr>
      <w:r w:rsidRPr="00F04A91">
        <w:t>At the core of this approach is IBM’s Continuous QA Effectiveness Framework (CQEF</w:t>
      </w:r>
      <w:r w:rsidR="000C2EAC" w:rsidRPr="00F04A91">
        <w:t>)</w:t>
      </w:r>
      <w:r w:rsidRPr="00F04A91">
        <w:t>, which operates across people, process, tools, and data to continuously improve outcomes while lowering effort.</w:t>
      </w:r>
    </w:p>
    <w:p w14:paraId="2E8EF1F1" w14:textId="0FB7AE70" w:rsidR="000E5A21" w:rsidRDefault="000E5A21" w:rsidP="000E5A21">
      <w:pPr>
        <w:pStyle w:val="Caption"/>
        <w:keepNext/>
        <w:jc w:val="center"/>
      </w:pPr>
      <w:bookmarkStart w:id="82" w:name="_Toc212367481"/>
      <w:r>
        <w:t xml:space="preserve">Table 4.4.2. </w:t>
      </w:r>
      <w:r>
        <w:fldChar w:fldCharType="begin"/>
      </w:r>
      <w:r>
        <w:instrText xml:space="preserve"> SEQ Table_4.4.2. \* ARABIC </w:instrText>
      </w:r>
      <w:r>
        <w:fldChar w:fldCharType="separate"/>
      </w:r>
      <w:r w:rsidR="00FB29F8">
        <w:rPr>
          <w:noProof/>
        </w:rPr>
        <w:t>2</w:t>
      </w:r>
      <w:r>
        <w:fldChar w:fldCharType="end"/>
      </w:r>
      <w:r>
        <w:t xml:space="preserve"> Continuous QA Effectiveness Framework (CQEF) dimension breakdown</w:t>
      </w:r>
      <w:bookmarkEnd w:id="82"/>
    </w:p>
    <w:tbl>
      <w:tblPr>
        <w:tblStyle w:val="TableGrid"/>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9"/>
        <w:gridCol w:w="3067"/>
        <w:gridCol w:w="3974"/>
      </w:tblGrid>
      <w:tr w:rsidR="00A740E3" w:rsidRPr="00F04A91" w14:paraId="6A0E24F0" w14:textId="77777777" w:rsidTr="00E30C95">
        <w:trPr>
          <w:cnfStyle w:val="100000000000" w:firstRow="1" w:lastRow="0" w:firstColumn="0" w:lastColumn="0" w:oddVBand="0" w:evenVBand="0" w:oddHBand="0" w:evenHBand="0" w:firstRowFirstColumn="0" w:firstRowLastColumn="0" w:lastRowFirstColumn="0" w:lastRowLastColumn="0"/>
          <w:tblHeader/>
        </w:trPr>
        <w:tc>
          <w:tcPr>
            <w:tcW w:w="1235" w:type="pct"/>
            <w:shd w:val="clear" w:color="auto" w:fill="0070C0"/>
            <w:hideMark/>
          </w:tcPr>
          <w:p w14:paraId="3A02F539" w14:textId="77777777" w:rsidR="00605F42" w:rsidRPr="00F04A91" w:rsidRDefault="00605F42" w:rsidP="00E30C95">
            <w:pPr>
              <w:pStyle w:val="CS-IBMTableColumnHeader"/>
              <w:jc w:val="left"/>
            </w:pPr>
            <w:r w:rsidRPr="00F04A91">
              <w:t>Dimension</w:t>
            </w:r>
          </w:p>
        </w:tc>
        <w:tc>
          <w:tcPr>
            <w:tcW w:w="1640" w:type="pct"/>
            <w:shd w:val="clear" w:color="auto" w:fill="0070C0"/>
            <w:hideMark/>
          </w:tcPr>
          <w:p w14:paraId="1E866B9E" w14:textId="77777777" w:rsidR="00605F42" w:rsidRPr="00F04A91" w:rsidRDefault="00605F42" w:rsidP="00E30C95">
            <w:pPr>
              <w:pStyle w:val="CS-IBMTableColumnHeader"/>
              <w:jc w:val="left"/>
            </w:pPr>
            <w:r w:rsidRPr="00F04A91">
              <w:t>Objective</w:t>
            </w:r>
          </w:p>
        </w:tc>
        <w:tc>
          <w:tcPr>
            <w:tcW w:w="2125" w:type="pct"/>
            <w:shd w:val="clear" w:color="auto" w:fill="0070C0"/>
            <w:hideMark/>
          </w:tcPr>
          <w:p w14:paraId="25DB530F" w14:textId="77777777" w:rsidR="00605F42" w:rsidRPr="00F04A91" w:rsidRDefault="00605F42" w:rsidP="00E30C95">
            <w:pPr>
              <w:pStyle w:val="CS-IBMTableColumnHeader"/>
              <w:jc w:val="left"/>
            </w:pPr>
            <w:r w:rsidRPr="00F04A91">
              <w:t>Continuous Action</w:t>
            </w:r>
          </w:p>
        </w:tc>
      </w:tr>
      <w:tr w:rsidR="00A43C91" w:rsidRPr="00F04A91" w14:paraId="1CC17F6E" w14:textId="77777777" w:rsidTr="00E30C95">
        <w:tc>
          <w:tcPr>
            <w:tcW w:w="1235" w:type="pct"/>
            <w:shd w:val="clear" w:color="auto" w:fill="FFFFFF" w:themeFill="background1"/>
            <w:hideMark/>
          </w:tcPr>
          <w:p w14:paraId="3BABF7C2" w14:textId="77777777" w:rsidR="00605F42" w:rsidRPr="00F04A91" w:rsidRDefault="00605F42" w:rsidP="00AE79CC">
            <w:pPr>
              <w:pStyle w:val="CS-IBMTableText"/>
            </w:pPr>
            <w:r w:rsidRPr="00F04A91">
              <w:t>Process Improvement</w:t>
            </w:r>
          </w:p>
        </w:tc>
        <w:tc>
          <w:tcPr>
            <w:tcW w:w="1640" w:type="pct"/>
            <w:shd w:val="clear" w:color="auto" w:fill="FFFFFF" w:themeFill="background1"/>
            <w:hideMark/>
          </w:tcPr>
          <w:p w14:paraId="4F4CAEE2" w14:textId="77777777" w:rsidR="00605F42" w:rsidRPr="00F04A91" w:rsidRDefault="00605F42" w:rsidP="00AE79CC">
            <w:pPr>
              <w:pStyle w:val="CS-IBMTableText"/>
            </w:pPr>
            <w:r w:rsidRPr="00F04A91">
              <w:t>Close process gaps, standardize best practices</w:t>
            </w:r>
          </w:p>
        </w:tc>
        <w:tc>
          <w:tcPr>
            <w:tcW w:w="2125" w:type="pct"/>
            <w:shd w:val="clear" w:color="auto" w:fill="FFFFFF" w:themeFill="background1"/>
            <w:hideMark/>
          </w:tcPr>
          <w:p w14:paraId="4BDDF309" w14:textId="77777777" w:rsidR="00605F42" w:rsidRPr="00F04A91" w:rsidRDefault="00605F42" w:rsidP="00AE79CC">
            <w:pPr>
              <w:pStyle w:val="CS-IBMTableText"/>
            </w:pPr>
            <w:r w:rsidRPr="00F04A91">
              <w:t>Retrospectives after every release; update QA assets</w:t>
            </w:r>
          </w:p>
        </w:tc>
      </w:tr>
      <w:tr w:rsidR="00A43C91" w:rsidRPr="00F04A91" w14:paraId="3A85FED5" w14:textId="77777777" w:rsidTr="00E30C95">
        <w:tc>
          <w:tcPr>
            <w:tcW w:w="1235" w:type="pct"/>
            <w:shd w:val="clear" w:color="auto" w:fill="FFFFFF" w:themeFill="background1"/>
            <w:hideMark/>
          </w:tcPr>
          <w:p w14:paraId="46426CA9" w14:textId="77777777" w:rsidR="00605F42" w:rsidRPr="00F04A91" w:rsidRDefault="00605F42" w:rsidP="00AE79CC">
            <w:pPr>
              <w:pStyle w:val="CS-IBMTableText"/>
            </w:pPr>
            <w:r w:rsidRPr="00F04A91">
              <w:t>Automation Maturity</w:t>
            </w:r>
          </w:p>
        </w:tc>
        <w:tc>
          <w:tcPr>
            <w:tcW w:w="1640" w:type="pct"/>
            <w:shd w:val="clear" w:color="auto" w:fill="FFFFFF" w:themeFill="background1"/>
            <w:hideMark/>
          </w:tcPr>
          <w:p w14:paraId="7D4F7718" w14:textId="77777777" w:rsidR="00605F42" w:rsidRPr="00F04A91" w:rsidRDefault="00605F42" w:rsidP="00AE79CC">
            <w:pPr>
              <w:pStyle w:val="CS-IBMTableText"/>
            </w:pPr>
            <w:r w:rsidRPr="00F04A91">
              <w:t>Increase speed, reduce manual effort</w:t>
            </w:r>
          </w:p>
        </w:tc>
        <w:tc>
          <w:tcPr>
            <w:tcW w:w="2125" w:type="pct"/>
            <w:shd w:val="clear" w:color="auto" w:fill="FFFFFF" w:themeFill="background1"/>
            <w:hideMark/>
          </w:tcPr>
          <w:p w14:paraId="6C98BC8B" w14:textId="77777777" w:rsidR="00605F42" w:rsidRPr="00F04A91" w:rsidRDefault="00605F42" w:rsidP="00AE79CC">
            <w:pPr>
              <w:pStyle w:val="CS-IBMTableText"/>
            </w:pPr>
            <w:r w:rsidRPr="00F04A91">
              <w:t>Track automation coverage, failure rate, AI-driven script healing</w:t>
            </w:r>
          </w:p>
        </w:tc>
      </w:tr>
      <w:tr w:rsidR="00A43C91" w:rsidRPr="00F04A91" w14:paraId="662D1353" w14:textId="77777777" w:rsidTr="00E30C95">
        <w:tc>
          <w:tcPr>
            <w:tcW w:w="1235" w:type="pct"/>
            <w:shd w:val="clear" w:color="auto" w:fill="FFFFFF" w:themeFill="background1"/>
            <w:hideMark/>
          </w:tcPr>
          <w:p w14:paraId="418DFF3B" w14:textId="77777777" w:rsidR="00605F42" w:rsidRPr="00F04A91" w:rsidRDefault="00605F42" w:rsidP="00AE79CC">
            <w:pPr>
              <w:pStyle w:val="CS-IBMTableText"/>
            </w:pPr>
            <w:r w:rsidRPr="00F04A91">
              <w:t>Defect Analytics</w:t>
            </w:r>
          </w:p>
        </w:tc>
        <w:tc>
          <w:tcPr>
            <w:tcW w:w="1640" w:type="pct"/>
            <w:shd w:val="clear" w:color="auto" w:fill="FFFFFF" w:themeFill="background1"/>
            <w:hideMark/>
          </w:tcPr>
          <w:p w14:paraId="7F8549B4" w14:textId="77777777" w:rsidR="00605F42" w:rsidRPr="00F04A91" w:rsidRDefault="00605F42" w:rsidP="00AE79CC">
            <w:pPr>
              <w:pStyle w:val="CS-IBMTableText"/>
            </w:pPr>
            <w:r w:rsidRPr="00F04A91">
              <w:t>Predict and prevent future defects</w:t>
            </w:r>
          </w:p>
        </w:tc>
        <w:tc>
          <w:tcPr>
            <w:tcW w:w="2125" w:type="pct"/>
            <w:shd w:val="clear" w:color="auto" w:fill="FFFFFF" w:themeFill="background1"/>
            <w:hideMark/>
          </w:tcPr>
          <w:p w14:paraId="37698556" w14:textId="77777777" w:rsidR="00605F42" w:rsidRPr="00F04A91" w:rsidRDefault="00605F42" w:rsidP="00AE79CC">
            <w:pPr>
              <w:pStyle w:val="CS-IBMTableText"/>
            </w:pPr>
            <w:r w:rsidRPr="00F04A91">
              <w:t>Apply AI/ML clustering to logs, identify root causes</w:t>
            </w:r>
          </w:p>
        </w:tc>
      </w:tr>
      <w:tr w:rsidR="00A43C91" w:rsidRPr="00F04A91" w14:paraId="40E224AC" w14:textId="77777777" w:rsidTr="00E30C95">
        <w:tc>
          <w:tcPr>
            <w:tcW w:w="1235" w:type="pct"/>
            <w:shd w:val="clear" w:color="auto" w:fill="FFFFFF" w:themeFill="background1"/>
            <w:hideMark/>
          </w:tcPr>
          <w:p w14:paraId="6A4B443F" w14:textId="77777777" w:rsidR="00605F42" w:rsidRPr="00F04A91" w:rsidRDefault="00605F42" w:rsidP="00AE79CC">
            <w:pPr>
              <w:pStyle w:val="CS-IBMTableText"/>
            </w:pPr>
            <w:r w:rsidRPr="00F04A91">
              <w:lastRenderedPageBreak/>
              <w:t>Test Data Evolution</w:t>
            </w:r>
          </w:p>
        </w:tc>
        <w:tc>
          <w:tcPr>
            <w:tcW w:w="1640" w:type="pct"/>
            <w:shd w:val="clear" w:color="auto" w:fill="FFFFFF" w:themeFill="background1"/>
            <w:hideMark/>
          </w:tcPr>
          <w:p w14:paraId="648610B5" w14:textId="07ED93D7" w:rsidR="00605F42" w:rsidRPr="00F04A91" w:rsidRDefault="00605F42" w:rsidP="00AE79CC">
            <w:pPr>
              <w:pStyle w:val="CS-IBMTableText"/>
            </w:pPr>
            <w:r w:rsidRPr="00F04A91">
              <w:t xml:space="preserve">Keep data accurate, </w:t>
            </w:r>
            <w:r w:rsidR="00047D00" w:rsidRPr="00F04A91">
              <w:t>complain</w:t>
            </w:r>
            <w:r w:rsidRPr="00F04A91">
              <w:t>, policy-aligned</w:t>
            </w:r>
          </w:p>
        </w:tc>
        <w:tc>
          <w:tcPr>
            <w:tcW w:w="2125" w:type="pct"/>
            <w:shd w:val="clear" w:color="auto" w:fill="FFFFFF" w:themeFill="background1"/>
            <w:hideMark/>
          </w:tcPr>
          <w:p w14:paraId="063BD835" w14:textId="77777777" w:rsidR="00605F42" w:rsidRPr="00F04A91" w:rsidRDefault="00605F42" w:rsidP="00AE79CC">
            <w:pPr>
              <w:pStyle w:val="CS-IBMTableText"/>
            </w:pPr>
            <w:r w:rsidRPr="00F04A91">
              <w:t>Auto-refresh synthetic data, align with new rules</w:t>
            </w:r>
          </w:p>
        </w:tc>
      </w:tr>
      <w:tr w:rsidR="00A43C91" w:rsidRPr="00F04A91" w14:paraId="4DF62DA1" w14:textId="77777777" w:rsidTr="00E30C95">
        <w:tc>
          <w:tcPr>
            <w:tcW w:w="1235" w:type="pct"/>
            <w:shd w:val="clear" w:color="auto" w:fill="FFFFFF" w:themeFill="background1"/>
            <w:hideMark/>
          </w:tcPr>
          <w:p w14:paraId="3EA5B5E6" w14:textId="77777777" w:rsidR="00605F42" w:rsidRPr="00F04A91" w:rsidRDefault="00605F42" w:rsidP="00AE79CC">
            <w:pPr>
              <w:pStyle w:val="CS-IBMTableText"/>
            </w:pPr>
            <w:r w:rsidRPr="00F04A91">
              <w:t>Cross-Vendor Collaboration</w:t>
            </w:r>
          </w:p>
        </w:tc>
        <w:tc>
          <w:tcPr>
            <w:tcW w:w="1640" w:type="pct"/>
            <w:shd w:val="clear" w:color="auto" w:fill="FFFFFF" w:themeFill="background1"/>
            <w:hideMark/>
          </w:tcPr>
          <w:p w14:paraId="7640031B" w14:textId="77777777" w:rsidR="00605F42" w:rsidRPr="00F04A91" w:rsidRDefault="00605F42" w:rsidP="00AE79CC">
            <w:pPr>
              <w:pStyle w:val="CS-IBMTableText"/>
            </w:pPr>
            <w:r w:rsidRPr="00F04A91">
              <w:t>Reduce integration defects</w:t>
            </w:r>
          </w:p>
        </w:tc>
        <w:tc>
          <w:tcPr>
            <w:tcW w:w="2125" w:type="pct"/>
            <w:shd w:val="clear" w:color="auto" w:fill="FFFFFF" w:themeFill="background1"/>
            <w:hideMark/>
          </w:tcPr>
          <w:p w14:paraId="10C418C0" w14:textId="77777777" w:rsidR="00605F42" w:rsidRPr="00F04A91" w:rsidRDefault="00605F42" w:rsidP="00AE79CC">
            <w:pPr>
              <w:pStyle w:val="CS-IBMTableText"/>
            </w:pPr>
            <w:r w:rsidRPr="00F04A91">
              <w:t>Joint retrospectives, causality reviews across vendors</w:t>
            </w:r>
          </w:p>
        </w:tc>
      </w:tr>
      <w:tr w:rsidR="00A43C91" w:rsidRPr="00F04A91" w14:paraId="4A3B5348" w14:textId="77777777" w:rsidTr="00E30C95">
        <w:tc>
          <w:tcPr>
            <w:tcW w:w="1235" w:type="pct"/>
            <w:shd w:val="clear" w:color="auto" w:fill="FFFFFF" w:themeFill="background1"/>
            <w:hideMark/>
          </w:tcPr>
          <w:p w14:paraId="784155F2" w14:textId="77777777" w:rsidR="00605F42" w:rsidRPr="00F04A91" w:rsidRDefault="00605F42" w:rsidP="00AE79CC">
            <w:pPr>
              <w:pStyle w:val="CS-IBMTableText"/>
            </w:pPr>
            <w:r w:rsidRPr="00F04A91">
              <w:t>Training &amp; Knowledge</w:t>
            </w:r>
          </w:p>
        </w:tc>
        <w:tc>
          <w:tcPr>
            <w:tcW w:w="1640" w:type="pct"/>
            <w:shd w:val="clear" w:color="auto" w:fill="FFFFFF" w:themeFill="background1"/>
            <w:hideMark/>
          </w:tcPr>
          <w:p w14:paraId="7D8B2AA8" w14:textId="77777777" w:rsidR="00605F42" w:rsidRPr="00F04A91" w:rsidRDefault="00605F42" w:rsidP="00AE79CC">
            <w:pPr>
              <w:pStyle w:val="CS-IBMTableText"/>
            </w:pPr>
            <w:r w:rsidRPr="00F04A91">
              <w:t>Grow QA skills across teams</w:t>
            </w:r>
          </w:p>
        </w:tc>
        <w:tc>
          <w:tcPr>
            <w:tcW w:w="2125" w:type="pct"/>
            <w:shd w:val="clear" w:color="auto" w:fill="FFFFFF" w:themeFill="background1"/>
            <w:hideMark/>
          </w:tcPr>
          <w:p w14:paraId="5EF07813" w14:textId="77777777" w:rsidR="00605F42" w:rsidRPr="00F04A91" w:rsidRDefault="00605F42" w:rsidP="00AE79CC">
            <w:pPr>
              <w:pStyle w:val="CS-IBMTableText"/>
            </w:pPr>
            <w:r w:rsidRPr="00F04A91">
              <w:t>Quarterly QA Learning Labs with vendors, counties, Consortium</w:t>
            </w:r>
          </w:p>
        </w:tc>
      </w:tr>
    </w:tbl>
    <w:p w14:paraId="15E5A7DC" w14:textId="3B6B0CA8" w:rsidR="00A82685" w:rsidRPr="00A82685" w:rsidRDefault="00605F42" w:rsidP="00A82685">
      <w:pPr>
        <w:pStyle w:val="CS-IBMResponseText"/>
      </w:pPr>
      <w:r w:rsidRPr="00DC33C3">
        <w:rPr>
          <w:b/>
          <w:bCs/>
        </w:rPr>
        <w:t>Result</w:t>
      </w:r>
      <w:r w:rsidRPr="00F04A91">
        <w:t xml:space="preserve">: QA shifts from </w:t>
      </w:r>
      <w:r w:rsidR="008B6410">
        <w:t xml:space="preserve">a </w:t>
      </w:r>
      <w:r w:rsidRPr="00F04A91">
        <w:t>reactive execution to proactive risk prevention and continuous learning.</w:t>
      </w:r>
    </w:p>
    <w:p w14:paraId="15106575" w14:textId="77777777" w:rsidR="0090425B" w:rsidRDefault="0090425B" w:rsidP="00AB6AD0">
      <w:pPr>
        <w:pStyle w:val="CS-IBMResponseText"/>
        <w:keepNext/>
        <w:rPr>
          <w:color w:val="0070C0"/>
          <w:sz w:val="28"/>
          <w:szCs w:val="28"/>
        </w:rPr>
      </w:pPr>
    </w:p>
    <w:p w14:paraId="164FD86E" w14:textId="43CC70CE" w:rsidR="00605F42" w:rsidRPr="000C7BF6" w:rsidRDefault="00605F42" w:rsidP="00AB6AD0">
      <w:pPr>
        <w:pStyle w:val="CS-IBMResponseText"/>
        <w:keepNext/>
        <w:rPr>
          <w:color w:val="0070C0"/>
          <w:sz w:val="28"/>
          <w:szCs w:val="28"/>
        </w:rPr>
      </w:pPr>
      <w:r w:rsidRPr="000C7BF6">
        <w:rPr>
          <w:color w:val="0070C0"/>
          <w:sz w:val="28"/>
          <w:szCs w:val="28"/>
        </w:rPr>
        <w:t>Governed Metrics and Trend Analysis</w:t>
      </w:r>
    </w:p>
    <w:p w14:paraId="102EAE09" w14:textId="474C8A42" w:rsidR="00605F42" w:rsidRPr="00F04A91" w:rsidRDefault="00605F42" w:rsidP="00955848">
      <w:pPr>
        <w:pStyle w:val="CS-IBMResponseText"/>
      </w:pPr>
      <w:r w:rsidRPr="00F04A91">
        <w:t>IBM ensures continuous improvement is visible, measurable, and actionable through governed metrics and trend analysis</w:t>
      </w:r>
      <w:r w:rsidR="00F60375">
        <w:rPr>
          <w:i/>
          <w:iCs/>
        </w:rPr>
        <w:t xml:space="preserve">, </w:t>
      </w:r>
      <w:r w:rsidR="00F60375" w:rsidRPr="00F60375">
        <w:t>as follows:</w:t>
      </w:r>
    </w:p>
    <w:p w14:paraId="69D739FA" w14:textId="77777777" w:rsidR="00605F42" w:rsidRPr="00F10713" w:rsidRDefault="00605F42" w:rsidP="00955848">
      <w:pPr>
        <w:pStyle w:val="CS-IBMResponseText"/>
        <w:rPr>
          <w:b/>
          <w:bCs/>
        </w:rPr>
      </w:pPr>
      <w:r w:rsidRPr="00F10713">
        <w:rPr>
          <w:b/>
          <w:bCs/>
        </w:rPr>
        <w:t>Core Metrics IBM Will Track</w:t>
      </w:r>
    </w:p>
    <w:p w14:paraId="00D81A32" w14:textId="77777777" w:rsidR="00605F42" w:rsidRPr="00F04A91" w:rsidRDefault="00605F42" w:rsidP="00443E03">
      <w:pPr>
        <w:pStyle w:val="CS-IBMBullet1"/>
      </w:pPr>
      <w:r w:rsidRPr="00F04A91">
        <w:t>Defect Detection Rate</w:t>
      </w:r>
    </w:p>
    <w:p w14:paraId="7D7192A1" w14:textId="7B3CB489" w:rsidR="00605F42" w:rsidRPr="00E33E3D" w:rsidRDefault="00605F42" w:rsidP="00443E03">
      <w:pPr>
        <w:pStyle w:val="CS-IBMBullet1"/>
        <w:rPr>
          <w:i/>
        </w:rPr>
      </w:pPr>
      <w:r w:rsidRPr="00E33E3D">
        <w:t xml:space="preserve">Defect Removal Efficiency (DRE) </w:t>
      </w:r>
    </w:p>
    <w:p w14:paraId="0913199D" w14:textId="77777777" w:rsidR="00605F42" w:rsidRPr="00F04A91" w:rsidRDefault="00605F42" w:rsidP="00443E03">
      <w:pPr>
        <w:pStyle w:val="CS-IBMBullet1"/>
      </w:pPr>
      <w:r w:rsidRPr="00F04A91">
        <w:t>Defect Leakage into UAT/Production</w:t>
      </w:r>
    </w:p>
    <w:p w14:paraId="3CCA4313" w14:textId="77777777" w:rsidR="00605F42" w:rsidRPr="00F04A91" w:rsidRDefault="00605F42" w:rsidP="00443E03">
      <w:pPr>
        <w:pStyle w:val="CS-IBMBullet1"/>
      </w:pPr>
      <w:r w:rsidRPr="00F04A91">
        <w:t>Automation Coverage</w:t>
      </w:r>
    </w:p>
    <w:p w14:paraId="367BFBBB" w14:textId="158B9FFC" w:rsidR="00605F42" w:rsidRPr="00E33E3D" w:rsidRDefault="00605F42" w:rsidP="00443E03">
      <w:pPr>
        <w:pStyle w:val="CS-IBMBullet1"/>
        <w:rPr>
          <w:i/>
        </w:rPr>
      </w:pPr>
      <w:r w:rsidRPr="00E33E3D">
        <w:t xml:space="preserve">Test Execution Velocity </w:t>
      </w:r>
    </w:p>
    <w:p w14:paraId="4D7507E1" w14:textId="57BB8D76" w:rsidR="00605F42" w:rsidRPr="00F04A91" w:rsidRDefault="00605F42" w:rsidP="00443E03">
      <w:pPr>
        <w:pStyle w:val="CS-IBMBullet1"/>
      </w:pPr>
      <w:r w:rsidRPr="00F04A91">
        <w:t xml:space="preserve">Redundancy Reduction </w:t>
      </w:r>
    </w:p>
    <w:p w14:paraId="1DBC1F80" w14:textId="308466AE" w:rsidR="00605F42" w:rsidRPr="00141DFB" w:rsidRDefault="00605F42" w:rsidP="00141DFB">
      <w:pPr>
        <w:pStyle w:val="CS-IBMResponseText"/>
        <w:rPr>
          <w:i/>
          <w:iCs/>
        </w:rPr>
      </w:pPr>
      <w:r w:rsidRPr="00141DFB">
        <w:rPr>
          <w:b/>
          <w:bCs/>
        </w:rPr>
        <w:t xml:space="preserve">Predictive &amp; Early Warning Indicators </w:t>
      </w:r>
    </w:p>
    <w:p w14:paraId="55114665" w14:textId="77777777" w:rsidR="00605F42" w:rsidRPr="00F04A91" w:rsidRDefault="00605F42" w:rsidP="00443E03">
      <w:pPr>
        <w:pStyle w:val="CS-IBMBullet1"/>
      </w:pPr>
      <w:r w:rsidRPr="00F04A91">
        <w:t>Spike in re-opened defects = regression gaps</w:t>
      </w:r>
    </w:p>
    <w:p w14:paraId="12C662D1" w14:textId="77777777" w:rsidR="00605F42" w:rsidRPr="00F04A91" w:rsidRDefault="00605F42" w:rsidP="00443E03">
      <w:pPr>
        <w:pStyle w:val="CS-IBMBullet1"/>
      </w:pPr>
      <w:r w:rsidRPr="00F04A91">
        <w:t>Defect clustering around policy logic = ambiguous requirements</w:t>
      </w:r>
    </w:p>
    <w:p w14:paraId="5FC9A266" w14:textId="77777777" w:rsidR="00605F42" w:rsidRPr="00F04A91" w:rsidRDefault="00605F42" w:rsidP="00443E03">
      <w:pPr>
        <w:pStyle w:val="CS-IBMBullet1"/>
      </w:pPr>
      <w:r w:rsidRPr="00F04A91">
        <w:t>Drop in automation pass rate = application changes impacting stability</w:t>
      </w:r>
    </w:p>
    <w:p w14:paraId="5B866B31" w14:textId="59AA05E3" w:rsidR="00D83DEA" w:rsidRPr="009638F3" w:rsidRDefault="00605F42" w:rsidP="00955848">
      <w:pPr>
        <w:pStyle w:val="CS-IBMResponseText"/>
      </w:pPr>
      <w:r w:rsidRPr="00F04A91">
        <w:t>These early signals allow proactive intervention, preventing delays and post-release defects.</w:t>
      </w:r>
    </w:p>
    <w:p w14:paraId="713DAC68" w14:textId="77777777" w:rsidR="0090425B" w:rsidRDefault="0090425B" w:rsidP="00955848">
      <w:pPr>
        <w:pStyle w:val="CS-IBMResponseText"/>
        <w:rPr>
          <w:color w:val="0070C0"/>
          <w:sz w:val="28"/>
          <w:szCs w:val="28"/>
        </w:rPr>
      </w:pPr>
    </w:p>
    <w:p w14:paraId="737758B8" w14:textId="3110EC15" w:rsidR="00605F42" w:rsidRPr="000C7BF6" w:rsidRDefault="00605F42" w:rsidP="00955848">
      <w:pPr>
        <w:pStyle w:val="CS-IBMResponseText"/>
        <w:rPr>
          <w:color w:val="0070C0"/>
          <w:sz w:val="28"/>
          <w:szCs w:val="28"/>
        </w:rPr>
      </w:pPr>
      <w:r w:rsidRPr="000C7BF6">
        <w:rPr>
          <w:color w:val="0070C0"/>
          <w:sz w:val="28"/>
          <w:szCs w:val="28"/>
        </w:rPr>
        <w:t>Test Optimization and Intelligent Targeting</w:t>
      </w:r>
    </w:p>
    <w:p w14:paraId="6B109FB1" w14:textId="08B6B3F6" w:rsidR="00605F42" w:rsidRPr="00141DFB" w:rsidRDefault="00605F42" w:rsidP="00955848">
      <w:pPr>
        <w:pStyle w:val="CS-IBMResponseText"/>
        <w:rPr>
          <w:i/>
          <w:iCs/>
        </w:rPr>
      </w:pPr>
      <w:r w:rsidRPr="00F04A91">
        <w:t>IBM continuously optimizes test suites using AI-driven clustering, model-based analysis, and risk-based test selection</w:t>
      </w:r>
      <w:r w:rsidR="00F60375">
        <w:t>.</w:t>
      </w:r>
    </w:p>
    <w:p w14:paraId="77CB2F5A" w14:textId="77777777" w:rsidR="00605F42" w:rsidRPr="00BF3782" w:rsidRDefault="00605F42" w:rsidP="00955848">
      <w:pPr>
        <w:pStyle w:val="CS-IBMResponseText"/>
        <w:rPr>
          <w:b/>
          <w:bCs/>
        </w:rPr>
      </w:pPr>
      <w:r w:rsidRPr="00BF3782">
        <w:rPr>
          <w:b/>
          <w:bCs/>
        </w:rPr>
        <w:t>How Optimization Works</w:t>
      </w:r>
    </w:p>
    <w:p w14:paraId="48E478D2" w14:textId="77777777" w:rsidR="00605F42" w:rsidRPr="00F04A91" w:rsidRDefault="00605F42" w:rsidP="00141DFB">
      <w:pPr>
        <w:pStyle w:val="CS-IBMBullet1"/>
      </w:pPr>
      <w:r w:rsidRPr="00F04A91">
        <w:t>Identify redundant or low-value test cases</w:t>
      </w:r>
    </w:p>
    <w:p w14:paraId="7FFBE421" w14:textId="77777777" w:rsidR="00605F42" w:rsidRPr="00F04A91" w:rsidRDefault="00605F42" w:rsidP="00141DFB">
      <w:pPr>
        <w:pStyle w:val="CS-IBMBullet1"/>
      </w:pPr>
      <w:r w:rsidRPr="00F04A91">
        <w:t>Replace with high-impact, data-driven scenarios</w:t>
      </w:r>
    </w:p>
    <w:p w14:paraId="7D6BD001" w14:textId="77777777" w:rsidR="00605F42" w:rsidRPr="00F04A91" w:rsidRDefault="00605F42" w:rsidP="00141DFB">
      <w:pPr>
        <w:pStyle w:val="CS-IBMBullet1"/>
      </w:pPr>
      <w:r w:rsidRPr="00F04A91">
        <w:t>Maintain 100% risk-based coverage with fewer tests</w:t>
      </w:r>
    </w:p>
    <w:p w14:paraId="2C17A6AF" w14:textId="66F22429" w:rsidR="00605F42" w:rsidRPr="00F04A91" w:rsidRDefault="00605F42" w:rsidP="00141DFB">
      <w:pPr>
        <w:pStyle w:val="CS-IBMBullet1"/>
      </w:pPr>
      <w:r w:rsidRPr="00F04A91">
        <w:t>Reduce test design time by up to 40%</w:t>
      </w:r>
    </w:p>
    <w:p w14:paraId="226245D7" w14:textId="77777777" w:rsidR="00605F42" w:rsidRPr="00F04A91" w:rsidRDefault="00605F42" w:rsidP="00141DFB">
      <w:pPr>
        <w:pStyle w:val="CS-IBMBullet1"/>
      </w:pPr>
      <w:r w:rsidRPr="00F04A91">
        <w:t>Improve precision and relevance</w:t>
      </w:r>
    </w:p>
    <w:p w14:paraId="2F1E20C6" w14:textId="77777777" w:rsidR="00605F42" w:rsidRPr="00BF3782" w:rsidRDefault="00605F42" w:rsidP="00BF3782">
      <w:pPr>
        <w:pStyle w:val="CS-IBMResponseText"/>
        <w:rPr>
          <w:b/>
          <w:bCs/>
        </w:rPr>
      </w:pPr>
      <w:r w:rsidRPr="00BF3782">
        <w:rPr>
          <w:b/>
          <w:bCs/>
        </w:rPr>
        <w:lastRenderedPageBreak/>
        <w:t>Risk-Based Regression Targeting</w:t>
      </w:r>
    </w:p>
    <w:p w14:paraId="31DC1356" w14:textId="77777777" w:rsidR="00605F42" w:rsidRPr="00F04A91" w:rsidRDefault="00605F42" w:rsidP="00141DFB">
      <w:pPr>
        <w:pStyle w:val="CS-IBMBullet1"/>
      </w:pPr>
      <w:r w:rsidRPr="00F04A91">
        <w:t>Predictive analytics highlight high-risk areas based on historical defects</w:t>
      </w:r>
    </w:p>
    <w:p w14:paraId="62DEA80D" w14:textId="77777777" w:rsidR="00605F42" w:rsidRPr="00F04A91" w:rsidRDefault="00605F42" w:rsidP="00141DFB">
      <w:pPr>
        <w:pStyle w:val="CS-IBMBullet1"/>
      </w:pPr>
      <w:r w:rsidRPr="00F04A91">
        <w:t>Regression testing focuses on what’s most likely to fail</w:t>
      </w:r>
    </w:p>
    <w:p w14:paraId="1CD272C2" w14:textId="6D090236" w:rsidR="00605F42" w:rsidRPr="00F04A91" w:rsidRDefault="00605F42" w:rsidP="00955848">
      <w:pPr>
        <w:pStyle w:val="CS-IBMResponseText"/>
      </w:pPr>
      <w:r w:rsidRPr="00141DFB">
        <w:rPr>
          <w:b/>
          <w:bCs/>
        </w:rPr>
        <w:t>Result</w:t>
      </w:r>
      <w:r w:rsidRPr="00F04A91">
        <w:t>: Higher defect capture with less effort</w:t>
      </w:r>
      <w:r w:rsidR="0098717A">
        <w:t xml:space="preserve">. </w:t>
      </w:r>
      <w:r w:rsidRPr="00F04A91">
        <w:t xml:space="preserve">Faster, smarter testing with fewer total test cases but better coverage </w:t>
      </w:r>
    </w:p>
    <w:p w14:paraId="64C18C4A" w14:textId="77777777" w:rsidR="0090425B" w:rsidRDefault="0090425B" w:rsidP="00070DF9">
      <w:pPr>
        <w:pStyle w:val="CS-IBMResponseText"/>
        <w:rPr>
          <w:color w:val="0070C0"/>
          <w:sz w:val="28"/>
          <w:szCs w:val="28"/>
        </w:rPr>
      </w:pPr>
    </w:p>
    <w:p w14:paraId="50894D79" w14:textId="3019B1AA" w:rsidR="00605F42" w:rsidRPr="000C7BF6" w:rsidRDefault="00605F42" w:rsidP="00070DF9">
      <w:pPr>
        <w:pStyle w:val="CS-IBMResponseText"/>
        <w:rPr>
          <w:color w:val="0070C0"/>
          <w:sz w:val="28"/>
          <w:szCs w:val="28"/>
        </w:rPr>
      </w:pPr>
      <w:r w:rsidRPr="000C7BF6">
        <w:rPr>
          <w:color w:val="0070C0"/>
          <w:sz w:val="28"/>
          <w:szCs w:val="28"/>
        </w:rPr>
        <w:t>Continuous Integration and Test Automation as the Backbone</w:t>
      </w:r>
    </w:p>
    <w:p w14:paraId="5D520D78" w14:textId="747E8891" w:rsidR="00757D37" w:rsidRPr="00757D37" w:rsidRDefault="00757D37" w:rsidP="00F57EDB">
      <w:pPr>
        <w:spacing w:before="0" w:after="0"/>
        <w:rPr>
          <w:rFonts w:cs="Arial"/>
          <w:color w:val="0D0D0D" w:themeColor="text1" w:themeTint="F2"/>
          <w:szCs w:val="21"/>
        </w:rPr>
      </w:pPr>
      <w:r w:rsidRPr="00757D37">
        <w:rPr>
          <w:rFonts w:cs="Arial"/>
          <w:color w:val="0D0D0D" w:themeColor="text1" w:themeTint="F2"/>
          <w:szCs w:val="21"/>
        </w:rPr>
        <w:t xml:space="preserve">Automation is not </w:t>
      </w:r>
      <w:r w:rsidR="008273E9" w:rsidRPr="00757D37">
        <w:rPr>
          <w:rFonts w:cs="Arial"/>
          <w:color w:val="0D0D0D" w:themeColor="text1" w:themeTint="F2"/>
          <w:szCs w:val="21"/>
        </w:rPr>
        <w:t>static</w:t>
      </w:r>
      <w:r w:rsidR="008273E9">
        <w:rPr>
          <w:rFonts w:cs="Arial"/>
          <w:color w:val="0D0D0D" w:themeColor="text1" w:themeTint="F2"/>
          <w:szCs w:val="21"/>
        </w:rPr>
        <w:t>;</w:t>
      </w:r>
      <w:r w:rsidRPr="00757D37">
        <w:rPr>
          <w:rFonts w:cs="Arial"/>
          <w:color w:val="0D0D0D" w:themeColor="text1" w:themeTint="F2"/>
          <w:szCs w:val="21"/>
        </w:rPr>
        <w:t xml:space="preserve"> it evolves and becomes more intelligent over time. For CalSAWS, automation is not merely about speed; it’s about sustainability and efficiency. The goal is to perform more validation with less human intervention, ensuring quality remains consistent while freeing up the Consortium’s staff from routine execution and oversight activities.</w:t>
      </w:r>
    </w:p>
    <w:p w14:paraId="2FDB95DA" w14:textId="4876987E" w:rsidR="00757D37" w:rsidRPr="00757D37" w:rsidRDefault="00757D37" w:rsidP="00F57EDB">
      <w:pPr>
        <w:spacing w:before="0" w:after="0"/>
        <w:rPr>
          <w:rFonts w:cs="Arial"/>
          <w:color w:val="0D0D0D" w:themeColor="text1" w:themeTint="F2"/>
          <w:szCs w:val="21"/>
        </w:rPr>
      </w:pPr>
      <w:r w:rsidRPr="00757D37">
        <w:rPr>
          <w:rFonts w:cs="Arial"/>
          <w:color w:val="0D0D0D" w:themeColor="text1" w:themeTint="F2"/>
          <w:szCs w:val="21"/>
        </w:rPr>
        <w:t>IBM’s automation framework continuously learns from execution history, system changes, and user behavior. Over time, it self-optimizes, reducing maintenance effort and increasing precision. This allows CalSAWS to maintain testing velocity and quality even as the system evolves without increasing manual effort or resource dependency.</w:t>
      </w:r>
    </w:p>
    <w:p w14:paraId="39E63F79" w14:textId="77777777" w:rsidR="0002746C" w:rsidRDefault="0002746C" w:rsidP="00F57EDB">
      <w:pPr>
        <w:spacing w:before="0" w:after="0"/>
        <w:rPr>
          <w:rFonts w:cs="Arial"/>
          <w:color w:val="0D0D0D" w:themeColor="text1" w:themeTint="F2"/>
          <w:szCs w:val="21"/>
        </w:rPr>
      </w:pPr>
    </w:p>
    <w:p w14:paraId="16109D32" w14:textId="3D712D5E" w:rsidR="00757D37" w:rsidRPr="00757D37" w:rsidRDefault="00757D37" w:rsidP="00F57EDB">
      <w:pPr>
        <w:spacing w:before="0" w:after="0"/>
        <w:rPr>
          <w:b/>
          <w:bCs/>
        </w:rPr>
      </w:pPr>
      <w:r w:rsidRPr="00757D37">
        <w:rPr>
          <w:b/>
          <w:bCs/>
        </w:rPr>
        <w:t>Key Automation Enablers</w:t>
      </w:r>
    </w:p>
    <w:p w14:paraId="166B4834" w14:textId="77777777" w:rsidR="00757D37" w:rsidRPr="00757D37" w:rsidRDefault="00757D37" w:rsidP="00CF7600">
      <w:pPr>
        <w:numPr>
          <w:ilvl w:val="0"/>
          <w:numId w:val="59"/>
        </w:numPr>
        <w:spacing w:before="0" w:after="0"/>
        <w:rPr>
          <w:rFonts w:cs="Arial"/>
          <w:color w:val="0D0D0D" w:themeColor="text1" w:themeTint="F2"/>
          <w:szCs w:val="21"/>
        </w:rPr>
      </w:pPr>
      <w:r w:rsidRPr="00757D37">
        <w:rPr>
          <w:rFonts w:cs="Arial"/>
          <w:color w:val="0D0D0D" w:themeColor="text1" w:themeTint="F2"/>
          <w:szCs w:val="21"/>
        </w:rPr>
        <w:t>Self-Healing Scripts (IQP Plus): Automatically adjust to changes in user interfaces or workflows, reducing manual script maintenance by up to 40%.</w:t>
      </w:r>
    </w:p>
    <w:p w14:paraId="2CBDBFD8" w14:textId="06162778" w:rsidR="00757D37" w:rsidRPr="00757D37" w:rsidRDefault="00757D37" w:rsidP="00CF7600">
      <w:pPr>
        <w:numPr>
          <w:ilvl w:val="0"/>
          <w:numId w:val="59"/>
        </w:numPr>
        <w:spacing w:before="0" w:after="0"/>
        <w:rPr>
          <w:rFonts w:cs="Arial"/>
          <w:color w:val="0D0D0D" w:themeColor="text1" w:themeTint="F2"/>
          <w:szCs w:val="21"/>
        </w:rPr>
      </w:pPr>
      <w:r w:rsidRPr="00757D37">
        <w:rPr>
          <w:rFonts w:cs="Arial"/>
          <w:color w:val="0D0D0D" w:themeColor="text1" w:themeTint="F2"/>
          <w:szCs w:val="21"/>
        </w:rPr>
        <w:t>Reusable, Parameterized Frameworks: Allow automation assets to be easily adapted across CalSAWS modules one investment yields ongoing benefits.</w:t>
      </w:r>
    </w:p>
    <w:p w14:paraId="067589DA" w14:textId="40DCD980" w:rsidR="00757D37" w:rsidRPr="00757D37" w:rsidRDefault="00757D37" w:rsidP="00CF7600">
      <w:pPr>
        <w:numPr>
          <w:ilvl w:val="0"/>
          <w:numId w:val="59"/>
        </w:numPr>
        <w:spacing w:before="0" w:after="0"/>
        <w:rPr>
          <w:rFonts w:cs="Arial"/>
          <w:color w:val="0D0D0D" w:themeColor="text1" w:themeTint="F2"/>
          <w:szCs w:val="21"/>
        </w:rPr>
      </w:pPr>
      <w:r w:rsidRPr="00757D37">
        <w:rPr>
          <w:rFonts w:cs="Arial"/>
          <w:color w:val="0D0D0D" w:themeColor="text1" w:themeTint="F2"/>
          <w:szCs w:val="21"/>
        </w:rPr>
        <w:t>Integration with CI/CD Pipelines: Every code deployment automatically triggers regression, smoke, and accessibility tests eliminating the need for manual scheduling or coordination.</w:t>
      </w:r>
    </w:p>
    <w:p w14:paraId="66363581" w14:textId="77777777" w:rsidR="00757D37" w:rsidRPr="00757D37" w:rsidRDefault="00757D37" w:rsidP="00CF7600">
      <w:pPr>
        <w:numPr>
          <w:ilvl w:val="0"/>
          <w:numId w:val="59"/>
        </w:numPr>
        <w:spacing w:before="0" w:after="0"/>
        <w:rPr>
          <w:rFonts w:cs="Arial"/>
          <w:color w:val="0D0D0D" w:themeColor="text1" w:themeTint="F2"/>
          <w:szCs w:val="21"/>
        </w:rPr>
      </w:pPr>
      <w:r w:rsidRPr="00757D37">
        <w:rPr>
          <w:rFonts w:cs="Arial"/>
          <w:color w:val="0D0D0D" w:themeColor="text1" w:themeTint="F2"/>
          <w:szCs w:val="21"/>
        </w:rPr>
        <w:t>Comprehensive Test Coverage: Automated regression, smoke, accessibility, and security testing ensure end-to-end validation across every release, without manual test rework.</w:t>
      </w:r>
    </w:p>
    <w:p w14:paraId="005B1C69" w14:textId="77777777" w:rsidR="0002746C" w:rsidRDefault="0002746C" w:rsidP="00F57EDB">
      <w:pPr>
        <w:spacing w:before="0" w:after="0"/>
        <w:rPr>
          <w:b/>
          <w:bCs/>
        </w:rPr>
      </w:pPr>
    </w:p>
    <w:p w14:paraId="48AF7060" w14:textId="511DD401" w:rsidR="00757D37" w:rsidRPr="00757D37" w:rsidRDefault="00757D37" w:rsidP="00F57EDB">
      <w:pPr>
        <w:spacing w:before="0" w:after="0"/>
        <w:rPr>
          <w:b/>
          <w:bCs/>
        </w:rPr>
      </w:pPr>
      <w:r w:rsidRPr="00757D37">
        <w:rPr>
          <w:b/>
          <w:bCs/>
        </w:rPr>
        <w:t>Benefits to CalSAWS</w:t>
      </w:r>
    </w:p>
    <w:p w14:paraId="0D76FCE7" w14:textId="77777777" w:rsidR="00757D37" w:rsidRPr="00757D37" w:rsidRDefault="00757D37" w:rsidP="00CF7600">
      <w:pPr>
        <w:numPr>
          <w:ilvl w:val="0"/>
          <w:numId w:val="60"/>
        </w:numPr>
        <w:spacing w:before="0" w:after="0"/>
        <w:rPr>
          <w:rFonts w:cs="Arial"/>
          <w:color w:val="0D0D0D" w:themeColor="text1" w:themeTint="F2"/>
          <w:szCs w:val="21"/>
        </w:rPr>
      </w:pPr>
      <w:r w:rsidRPr="00757D37">
        <w:rPr>
          <w:rFonts w:cs="Arial"/>
          <w:color w:val="0D0D0D" w:themeColor="text1" w:themeTint="F2"/>
          <w:szCs w:val="21"/>
        </w:rPr>
        <w:t>No Manual Execution Overhead: Automation runs continuously within the CI/CD pipeline, requiring no staff intervention.</w:t>
      </w:r>
    </w:p>
    <w:p w14:paraId="28D0DE38" w14:textId="77777777" w:rsidR="00757D37" w:rsidRPr="00757D37" w:rsidRDefault="00757D37" w:rsidP="00CF7600">
      <w:pPr>
        <w:numPr>
          <w:ilvl w:val="0"/>
          <w:numId w:val="60"/>
        </w:numPr>
        <w:spacing w:before="0" w:after="0"/>
        <w:rPr>
          <w:rFonts w:cs="Arial"/>
          <w:color w:val="0D0D0D" w:themeColor="text1" w:themeTint="F2"/>
          <w:szCs w:val="21"/>
        </w:rPr>
      </w:pPr>
      <w:r w:rsidRPr="00757D37">
        <w:rPr>
          <w:rFonts w:cs="Arial"/>
          <w:color w:val="0D0D0D" w:themeColor="text1" w:themeTint="F2"/>
          <w:szCs w:val="21"/>
        </w:rPr>
        <w:t>Real-Time Visibility: Results automatically feed into dashboards, giving CalSAWS leadership an instant snapshot of release readiness and system health.</w:t>
      </w:r>
    </w:p>
    <w:p w14:paraId="6FE9DBF0" w14:textId="77777777" w:rsidR="00757D37" w:rsidRPr="00757D37" w:rsidRDefault="00757D37" w:rsidP="00CF7600">
      <w:pPr>
        <w:numPr>
          <w:ilvl w:val="0"/>
          <w:numId w:val="60"/>
        </w:numPr>
        <w:spacing w:before="0" w:after="0"/>
        <w:rPr>
          <w:rFonts w:cs="Arial"/>
          <w:color w:val="0D0D0D" w:themeColor="text1" w:themeTint="F2"/>
          <w:szCs w:val="21"/>
        </w:rPr>
      </w:pPr>
      <w:r w:rsidRPr="00757D37">
        <w:rPr>
          <w:rFonts w:cs="Arial"/>
          <w:color w:val="0D0D0D" w:themeColor="text1" w:themeTint="F2"/>
          <w:szCs w:val="21"/>
        </w:rPr>
        <w:t>Accelerated, Informed Decision-Making: Objective, data-driven readiness indicators support faster and more confident “go/no-go” release decisions.</w:t>
      </w:r>
    </w:p>
    <w:p w14:paraId="79A77EF8" w14:textId="18571AF8" w:rsidR="00757D37" w:rsidRPr="00757D37" w:rsidRDefault="00757D37" w:rsidP="00CF7600">
      <w:pPr>
        <w:numPr>
          <w:ilvl w:val="0"/>
          <w:numId w:val="60"/>
        </w:numPr>
        <w:spacing w:before="0" w:after="0"/>
        <w:rPr>
          <w:rFonts w:cs="Arial"/>
          <w:color w:val="0D0D0D" w:themeColor="text1" w:themeTint="F2"/>
          <w:szCs w:val="21"/>
        </w:rPr>
      </w:pPr>
      <w:r w:rsidRPr="00757D37">
        <w:rPr>
          <w:rFonts w:cs="Arial"/>
          <w:color w:val="0D0D0D" w:themeColor="text1" w:themeTint="F2"/>
          <w:szCs w:val="21"/>
        </w:rPr>
        <w:t>Sustained Efficiency: Automation evolves release-over-release, improving accuracy and speed while reducing effort allowing CalSAWS to focus its limited resources on higher-value governance and oversight rather than routine testing.</w:t>
      </w:r>
    </w:p>
    <w:p w14:paraId="2E529E4C" w14:textId="31049277" w:rsidR="00827B4E" w:rsidRDefault="00E97E0B" w:rsidP="00DC2421">
      <w:pPr>
        <w:pStyle w:val="CS-IBMBullet1"/>
        <w:numPr>
          <w:ilvl w:val="0"/>
          <w:numId w:val="0"/>
        </w:numPr>
      </w:pPr>
      <w:r>
        <w:rPr>
          <w:noProof/>
        </w:rPr>
        <w:lastRenderedPageBreak/>
        <mc:AlternateContent>
          <mc:Choice Requires="wps">
            <w:drawing>
              <wp:anchor distT="0" distB="0" distL="114300" distR="114300" simplePos="0" relativeHeight="251658275" behindDoc="0" locked="0" layoutInCell="1" allowOverlap="1" wp14:anchorId="1773A823" wp14:editId="015C71D1">
                <wp:simplePos x="0" y="0"/>
                <wp:positionH relativeFrom="column">
                  <wp:posOffset>1174750</wp:posOffset>
                </wp:positionH>
                <wp:positionV relativeFrom="paragraph">
                  <wp:posOffset>3104515</wp:posOffset>
                </wp:positionV>
                <wp:extent cx="3422650" cy="635"/>
                <wp:effectExtent l="0" t="0" r="6350" b="12065"/>
                <wp:wrapTopAndBottom/>
                <wp:docPr id="1911309021" name="Text Box 1"/>
                <wp:cNvGraphicFramePr/>
                <a:graphic xmlns:a="http://schemas.openxmlformats.org/drawingml/2006/main">
                  <a:graphicData uri="http://schemas.microsoft.com/office/word/2010/wordprocessingShape">
                    <wps:wsp>
                      <wps:cNvSpPr txBox="1"/>
                      <wps:spPr>
                        <a:xfrm>
                          <a:off x="0" y="0"/>
                          <a:ext cx="3422650" cy="635"/>
                        </a:xfrm>
                        <a:prstGeom prst="rect">
                          <a:avLst/>
                        </a:prstGeom>
                        <a:solidFill>
                          <a:prstClr val="white"/>
                        </a:solidFill>
                        <a:ln>
                          <a:noFill/>
                        </a:ln>
                      </wps:spPr>
                      <wps:txbx>
                        <w:txbxContent>
                          <w:p w14:paraId="0D939C95" w14:textId="49D9DA83" w:rsidR="00E97E0B" w:rsidRPr="00AF0BFB" w:rsidRDefault="00E97E0B" w:rsidP="00E97E0B">
                            <w:pPr>
                              <w:pStyle w:val="Caption"/>
                              <w:jc w:val="center"/>
                              <w:rPr>
                                <w:rFonts w:cs="Arial"/>
                                <w:noProof/>
                                <w:color w:val="000000" w:themeColor="text1"/>
                                <w:sz w:val="22"/>
                                <w:szCs w:val="21"/>
                              </w:rPr>
                            </w:pPr>
                            <w:bookmarkStart w:id="83" w:name="_Toc213068739"/>
                            <w:r>
                              <w:t xml:space="preserve">Figure 4.4.2. </w:t>
                            </w:r>
                            <w:r>
                              <w:fldChar w:fldCharType="begin"/>
                            </w:r>
                            <w:r>
                              <w:instrText xml:space="preserve"> SEQ Figure_4.4.2. \* ARABIC </w:instrText>
                            </w:r>
                            <w:r>
                              <w:fldChar w:fldCharType="separate"/>
                            </w:r>
                            <w:r>
                              <w:rPr>
                                <w:noProof/>
                              </w:rPr>
                              <w:t>2</w:t>
                            </w:r>
                            <w:r>
                              <w:fldChar w:fldCharType="end"/>
                            </w:r>
                            <w:r>
                              <w:t xml:space="preserve"> Continuous Test Optimization Engine</w:t>
                            </w:r>
                            <w:bookmarkEnd w:id="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773A823" id="_x0000_s1043" type="#_x0000_t202" style="position:absolute;margin-left:92.5pt;margin-top:244.45pt;width:269.5pt;height:.05pt;z-index:2516582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" stroked="f">
                <v:textbox style="mso-fit-shape-to-text:t" inset="0,0,0,0">
                  <w:txbxContent>
                    <w:p w14:paraId="0D939C95" w14:textId="49D9DA83" w:rsidR="00E97E0B" w:rsidRPr="00AF0BFB" w:rsidRDefault="00E97E0B" w:rsidP="00E97E0B">
                      <w:pPr>
                        <w:pStyle w:val="Caption"/>
                        <w:jc w:val="center"/>
                        <w:rPr>
                          <w:rFonts w:cs="Arial"/>
                          <w:noProof/>
                          <w:color w:val="000000" w:themeColor="text1"/>
                          <w:sz w:val="22"/>
                          <w:szCs w:val="21"/>
                        </w:rPr>
                      </w:pPr>
                      <w:bookmarkStart w:id="84" w:name="_Toc213068739"/>
                      <w:r>
                        <w:t xml:space="preserve">Figure 4.4.2. </w:t>
                      </w:r>
                      <w:r>
                        <w:fldChar w:fldCharType="begin"/>
                      </w:r>
                      <w:r>
                        <w:instrText xml:space="preserve"> SEQ Figure_4.4.2. \* ARABIC </w:instrText>
                      </w:r>
                      <w:r>
                        <w:fldChar w:fldCharType="separate"/>
                      </w:r>
                      <w:r>
                        <w:rPr>
                          <w:noProof/>
                        </w:rPr>
                        <w:t>2</w:t>
                      </w:r>
                      <w:r>
                        <w:fldChar w:fldCharType="end"/>
                      </w:r>
                      <w:r>
                        <w:t xml:space="preserve"> Continuous Test Optimization Engine</w:t>
                      </w:r>
                      <w:bookmarkEnd w:id="84"/>
                    </w:p>
                  </w:txbxContent>
                </v:textbox>
                <w10:wrap type="topAndBottom"/>
              </v:shape>
            </w:pict>
          </mc:Fallback>
        </mc:AlternateContent>
      </w:r>
      <w:r w:rsidR="009D1689">
        <w:rPr>
          <w:noProof/>
        </w:rPr>
        <w:drawing>
          <wp:anchor distT="0" distB="0" distL="114300" distR="114300" simplePos="0" relativeHeight="251658245" behindDoc="0" locked="0" layoutInCell="1" allowOverlap="1" wp14:anchorId="12B3125A" wp14:editId="5F32931B">
            <wp:simplePos x="0" y="0"/>
            <wp:positionH relativeFrom="column">
              <wp:posOffset>1174750</wp:posOffset>
            </wp:positionH>
            <wp:positionV relativeFrom="paragraph">
              <wp:posOffset>372745</wp:posOffset>
            </wp:positionV>
            <wp:extent cx="3422650" cy="2674620"/>
            <wp:effectExtent l="0" t="0" r="6350" b="0"/>
            <wp:wrapTopAndBottom/>
            <wp:docPr id="463667136" name="Picture 1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67136" name="Picture 14" descr="A diagram of a diagram&#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22650" cy="2674620"/>
                    </a:xfrm>
                    <a:prstGeom prst="rect">
                      <a:avLst/>
                    </a:prstGeom>
                  </pic:spPr>
                </pic:pic>
              </a:graphicData>
            </a:graphic>
            <wp14:sizeRelH relativeFrom="page">
              <wp14:pctWidth>0</wp14:pctWidth>
            </wp14:sizeRelH>
            <wp14:sizeRelV relativeFrom="page">
              <wp14:pctHeight>0</wp14:pctHeight>
            </wp14:sizeRelV>
          </wp:anchor>
        </w:drawing>
      </w:r>
    </w:p>
    <w:p w14:paraId="49423E2F" w14:textId="77777777" w:rsidR="00827B4E" w:rsidRPr="00F04A91" w:rsidRDefault="00827B4E" w:rsidP="00955848">
      <w:pPr>
        <w:pStyle w:val="CS-IBMResponseText"/>
      </w:pPr>
    </w:p>
    <w:p w14:paraId="6ECE3BB6" w14:textId="77777777" w:rsidR="00605F42" w:rsidRPr="00C765FD" w:rsidRDefault="00605F42" w:rsidP="00955848">
      <w:pPr>
        <w:pStyle w:val="CS-IBMResponseText"/>
        <w:rPr>
          <w:b/>
          <w:bCs/>
        </w:rPr>
      </w:pPr>
      <w:r w:rsidRPr="00C765FD">
        <w:rPr>
          <w:b/>
          <w:bCs/>
        </w:rPr>
        <w:t>Governance and Vendor Collaboration Drive Improvement Across the Ecosystem</w:t>
      </w:r>
    </w:p>
    <w:p w14:paraId="777393DD" w14:textId="1AB0C0AD" w:rsidR="00537A46" w:rsidRPr="00537A46" w:rsidRDefault="00537A46" w:rsidP="00537A46">
      <w:pPr>
        <w:spacing w:before="0" w:after="0"/>
      </w:pPr>
      <w:r w:rsidRPr="00537A46">
        <w:t>CalSAWS operates within a complex, multi-vendor ecosystem where coordination, transparency, and shared accountability are essential. IBM’s approach to governance ensures that QA effectiveness increases across all partners</w:t>
      </w:r>
      <w:r>
        <w:t xml:space="preserve">, </w:t>
      </w:r>
      <w:r w:rsidRPr="00537A46">
        <w:t>not just within IBM’s scope of work. This ensures that continuous improvement happens at the ecosystem level, without requiring the Consortium to expend additional management effort.</w:t>
      </w:r>
    </w:p>
    <w:p w14:paraId="27FC79E0" w14:textId="4B7B1734" w:rsidR="00537A46" w:rsidRDefault="00537A46" w:rsidP="00537A46">
      <w:pPr>
        <w:spacing w:before="0" w:after="0"/>
      </w:pPr>
      <w:r w:rsidRPr="00537A46">
        <w:t>IBM’s “One Team Collaboration Model” is designed to foster an environment where vendors work together toward shared quality outcomes. Rather than creating parallel processes, IBM’s governance model leverages existing CalSAWS coordination structures</w:t>
      </w:r>
      <w:r>
        <w:t xml:space="preserve">, </w:t>
      </w:r>
      <w:r w:rsidRPr="00537A46">
        <w:t>enhancing them with data-driven insights, unified reporting, and consistent QA practices. The result is improved alignment, faster issue resolution, and better risk mitigation</w:t>
      </w:r>
      <w:r>
        <w:t xml:space="preserve">, </w:t>
      </w:r>
      <w:r w:rsidRPr="00537A46">
        <w:t>all without additional resource strain on CalSAWS.</w:t>
      </w:r>
    </w:p>
    <w:p w14:paraId="4EC2F90E" w14:textId="77777777" w:rsidR="00537A46" w:rsidRPr="00537A46" w:rsidRDefault="00537A46" w:rsidP="00537A46">
      <w:pPr>
        <w:pStyle w:val="Caption"/>
      </w:pPr>
    </w:p>
    <w:p w14:paraId="1BDC5221" w14:textId="77777777" w:rsidR="00537A46" w:rsidRPr="00537A46" w:rsidRDefault="00537A46" w:rsidP="00537A46">
      <w:pPr>
        <w:spacing w:before="0" w:after="0"/>
        <w:rPr>
          <w:b/>
          <w:bCs/>
        </w:rPr>
      </w:pPr>
      <w:r w:rsidRPr="00537A46">
        <w:rPr>
          <w:b/>
          <w:bCs/>
        </w:rPr>
        <w:t>Best Practice: One Team Collaboration Model</w:t>
      </w:r>
    </w:p>
    <w:p w14:paraId="6E4787F7" w14:textId="77777777" w:rsidR="00537A46" w:rsidRPr="00537A46" w:rsidRDefault="00537A46" w:rsidP="00CF7600">
      <w:pPr>
        <w:pStyle w:val="ListParagraph"/>
        <w:numPr>
          <w:ilvl w:val="0"/>
          <w:numId w:val="61"/>
        </w:numPr>
        <w:spacing w:before="0" w:after="0"/>
      </w:pPr>
      <w:r w:rsidRPr="00537A46">
        <w:t>Joint Test Planning Sessions: Align vendor release plans, minimize overlap, and ensure unified QA coverage across systems.</w:t>
      </w:r>
    </w:p>
    <w:p w14:paraId="4937EF9D" w14:textId="77777777" w:rsidR="00537A46" w:rsidRPr="00537A46" w:rsidRDefault="00537A46" w:rsidP="00CF7600">
      <w:pPr>
        <w:pStyle w:val="ListParagraph"/>
        <w:numPr>
          <w:ilvl w:val="0"/>
          <w:numId w:val="61"/>
        </w:numPr>
        <w:spacing w:before="0" w:after="0"/>
      </w:pPr>
      <w:r w:rsidRPr="00537A46">
        <w:t>Shared Defect Triage Forums: Enable immediate cross-vendor visibility into issues, accelerating root cause identification and resolution.</w:t>
      </w:r>
    </w:p>
    <w:p w14:paraId="01F02EA2" w14:textId="77777777" w:rsidR="00537A46" w:rsidRPr="00537A46" w:rsidRDefault="00537A46" w:rsidP="00CF7600">
      <w:pPr>
        <w:pStyle w:val="ListParagraph"/>
        <w:numPr>
          <w:ilvl w:val="0"/>
          <w:numId w:val="61"/>
        </w:numPr>
        <w:spacing w:before="0" w:after="0"/>
      </w:pPr>
      <w:r w:rsidRPr="00537A46">
        <w:t>Integrated Readiness Reviews: Consolidate test results from all vendors into one view, reducing redundant review cycles.</w:t>
      </w:r>
    </w:p>
    <w:p w14:paraId="7639B319" w14:textId="77777777" w:rsidR="00537A46" w:rsidRPr="00537A46" w:rsidRDefault="00537A46" w:rsidP="00CF7600">
      <w:pPr>
        <w:pStyle w:val="ListParagraph"/>
        <w:numPr>
          <w:ilvl w:val="0"/>
          <w:numId w:val="61"/>
        </w:numPr>
        <w:spacing w:before="0" w:after="0"/>
      </w:pPr>
      <w:r w:rsidRPr="00537A46">
        <w:t>Transparent Issue Resolution: All stakeholders access the same dashboards and quality metrics, minimizing the need for manual coordination.</w:t>
      </w:r>
    </w:p>
    <w:p w14:paraId="1E98B368" w14:textId="77777777" w:rsidR="00537A46" w:rsidRPr="00537A46" w:rsidRDefault="00537A46" w:rsidP="00CF7600">
      <w:pPr>
        <w:pStyle w:val="ListParagraph"/>
        <w:numPr>
          <w:ilvl w:val="0"/>
          <w:numId w:val="61"/>
        </w:numPr>
        <w:spacing w:before="0" w:after="0"/>
      </w:pPr>
      <w:r w:rsidRPr="00537A46">
        <w:t>Cross-Program Trend Analysis: Detect systemic risks early through shared data and recurring retrospectives, rather than siloed reporting.</w:t>
      </w:r>
    </w:p>
    <w:p w14:paraId="42942819" w14:textId="77777777" w:rsidR="00E97E0B" w:rsidRDefault="00E97E0B" w:rsidP="00537A46">
      <w:pPr>
        <w:spacing w:before="0" w:after="0"/>
        <w:rPr>
          <w:b/>
          <w:bCs/>
        </w:rPr>
      </w:pPr>
    </w:p>
    <w:p w14:paraId="632767C8" w14:textId="2691CDE2" w:rsidR="00537A46" w:rsidRPr="00537A46" w:rsidRDefault="00537A46" w:rsidP="00537A46">
      <w:pPr>
        <w:spacing w:before="0" w:after="0"/>
        <w:rPr>
          <w:b/>
          <w:bCs/>
        </w:rPr>
      </w:pPr>
      <w:r w:rsidRPr="00537A46">
        <w:rPr>
          <w:b/>
          <w:bCs/>
        </w:rPr>
        <w:t>Continuous Vendor Alignment</w:t>
      </w:r>
    </w:p>
    <w:p w14:paraId="79C55D09" w14:textId="438A1AC1" w:rsidR="00537A46" w:rsidRPr="00537A46" w:rsidRDefault="00537A46" w:rsidP="00537A46">
      <w:pPr>
        <w:spacing w:before="0" w:after="0"/>
      </w:pPr>
      <w:r w:rsidRPr="00537A46">
        <w:lastRenderedPageBreak/>
        <w:t xml:space="preserve">IBM institutionalizes collaboration by establishing recurring governance touchpoints with </w:t>
      </w:r>
      <w:r w:rsidR="0078610D">
        <w:t xml:space="preserve">the incumbent CalSAWS </w:t>
      </w:r>
      <w:r w:rsidR="00F5273C">
        <w:t>vendors,</w:t>
      </w:r>
      <w:r w:rsidRPr="00537A46">
        <w:t xml:space="preserve"> and the Consortium:</w:t>
      </w:r>
    </w:p>
    <w:p w14:paraId="238F2C5D" w14:textId="77777777" w:rsidR="00537A46" w:rsidRPr="00537A46" w:rsidRDefault="00537A46" w:rsidP="00CF7600">
      <w:pPr>
        <w:pStyle w:val="ListParagraph"/>
        <w:numPr>
          <w:ilvl w:val="0"/>
          <w:numId w:val="62"/>
        </w:numPr>
        <w:spacing w:before="0" w:after="0"/>
      </w:pPr>
      <w:r w:rsidRPr="00537A46">
        <w:t>Joint Retrospectives after Each Release: Evaluate what worked, what didn’t, and embed improvements across vendors.</w:t>
      </w:r>
    </w:p>
    <w:p w14:paraId="46A5BCA2" w14:textId="77777777" w:rsidR="00537A46" w:rsidRPr="00537A46" w:rsidRDefault="00537A46" w:rsidP="00CF7600">
      <w:pPr>
        <w:pStyle w:val="ListParagraph"/>
        <w:numPr>
          <w:ilvl w:val="0"/>
          <w:numId w:val="62"/>
        </w:numPr>
        <w:spacing w:before="0" w:after="0"/>
      </w:pPr>
      <w:r w:rsidRPr="00537A46">
        <w:t>Defect Causality Reviews: Identify cross-system root causes and ensure remediation accountability is shared.</w:t>
      </w:r>
    </w:p>
    <w:p w14:paraId="5F426C50" w14:textId="77777777" w:rsidR="00537A46" w:rsidRPr="00537A46" w:rsidRDefault="00537A46" w:rsidP="00CF7600">
      <w:pPr>
        <w:pStyle w:val="ListParagraph"/>
        <w:numPr>
          <w:ilvl w:val="0"/>
          <w:numId w:val="62"/>
        </w:numPr>
        <w:spacing w:before="0" w:after="0"/>
      </w:pPr>
      <w:r w:rsidRPr="00537A46">
        <w:t>Shared Maturity Goals and Metrics: Align vendors on measurable quality KPIs and jointly track progress.</w:t>
      </w:r>
    </w:p>
    <w:p w14:paraId="1242349F" w14:textId="77777777" w:rsidR="00537A46" w:rsidRDefault="00537A46" w:rsidP="00CF7600">
      <w:pPr>
        <w:pStyle w:val="ListParagraph"/>
        <w:numPr>
          <w:ilvl w:val="0"/>
          <w:numId w:val="62"/>
        </w:numPr>
        <w:spacing w:before="0" w:after="0"/>
      </w:pPr>
      <w:r w:rsidRPr="00537A46">
        <w:t>Quarterly QA Effectiveness Reviews &amp; Annual Summit: Provide structured opportunities for reflection, benchmarking, and innovation planning.</w:t>
      </w:r>
    </w:p>
    <w:p w14:paraId="29F7FA5A" w14:textId="77777777" w:rsidR="00537A46" w:rsidRPr="00537A46" w:rsidRDefault="00537A46" w:rsidP="00537A46">
      <w:pPr>
        <w:pStyle w:val="Caption"/>
      </w:pPr>
    </w:p>
    <w:p w14:paraId="29CB5CA7" w14:textId="0EFA6D54" w:rsidR="000B5FE0" w:rsidRPr="00F04A91" w:rsidRDefault="005E3037" w:rsidP="009D31A5">
      <w:pPr>
        <w:spacing w:before="0" w:after="0"/>
      </w:pPr>
      <w:r>
        <w:rPr>
          <w:noProof/>
        </w:rPr>
        <mc:AlternateContent>
          <mc:Choice Requires="wps">
            <w:drawing>
              <wp:anchor distT="0" distB="0" distL="114300" distR="114300" simplePos="0" relativeHeight="251658276" behindDoc="0" locked="0" layoutInCell="1" allowOverlap="1" wp14:anchorId="3840E7CA" wp14:editId="78555C3D">
                <wp:simplePos x="0" y="0"/>
                <wp:positionH relativeFrom="column">
                  <wp:posOffset>-59690</wp:posOffset>
                </wp:positionH>
                <wp:positionV relativeFrom="paragraph">
                  <wp:posOffset>2938145</wp:posOffset>
                </wp:positionV>
                <wp:extent cx="5851525" cy="635"/>
                <wp:effectExtent l="0" t="0" r="3175" b="12065"/>
                <wp:wrapTopAndBottom/>
                <wp:docPr id="1852784216" name="Text Box 1"/>
                <wp:cNvGraphicFramePr/>
                <a:graphic xmlns:a="http://schemas.openxmlformats.org/drawingml/2006/main">
                  <a:graphicData uri="http://schemas.microsoft.com/office/word/2010/wordprocessingShape">
                    <wps:wsp>
                      <wps:cNvSpPr txBox="1"/>
                      <wps:spPr>
                        <a:xfrm>
                          <a:off x="0" y="0"/>
                          <a:ext cx="5851525" cy="635"/>
                        </a:xfrm>
                        <a:prstGeom prst="rect">
                          <a:avLst/>
                        </a:prstGeom>
                        <a:solidFill>
                          <a:prstClr val="white"/>
                        </a:solidFill>
                        <a:ln>
                          <a:noFill/>
                        </a:ln>
                      </wps:spPr>
                      <wps:txbx>
                        <w:txbxContent>
                          <w:p w14:paraId="7EDA123B" w14:textId="2E90E49D" w:rsidR="005E3037" w:rsidRPr="00D431CA" w:rsidRDefault="005E3037" w:rsidP="005E3037">
                            <w:pPr>
                              <w:pStyle w:val="Caption"/>
                              <w:jc w:val="center"/>
                              <w:rPr>
                                <w:noProof/>
                                <w:color w:val="000000" w:themeColor="text1"/>
                                <w:sz w:val="22"/>
                                <w:szCs w:val="22"/>
                              </w:rPr>
                            </w:pPr>
                            <w:bookmarkStart w:id="85" w:name="_Toc213068740"/>
                            <w:r>
                              <w:t xml:space="preserve">Figure 4.4.2. </w:t>
                            </w:r>
                            <w:r>
                              <w:fldChar w:fldCharType="begin"/>
                            </w:r>
                            <w:r>
                              <w:instrText xml:space="preserve"> SEQ Figure_4.4.2. \* ARABIC </w:instrText>
                            </w:r>
                            <w:r>
                              <w:fldChar w:fldCharType="separate"/>
                            </w:r>
                            <w:r>
                              <w:rPr>
                                <w:noProof/>
                              </w:rPr>
                              <w:t>3</w:t>
                            </w:r>
                            <w:r>
                              <w:fldChar w:fldCharType="end"/>
                            </w:r>
                            <w:r>
                              <w:t xml:space="preserve"> Cross-Vendor Continuous Improvement Cadence</w:t>
                            </w:r>
                            <w:bookmarkEnd w:id="8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840E7CA" id="_x0000_s1044" type="#_x0000_t202" style="position:absolute;margin-left:-4.7pt;margin-top:231.35pt;width:460.75pt;height:.05pt;z-index:2516582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" stroked="f">
                <v:textbox style="mso-fit-shape-to-text:t" inset="0,0,0,0">
                  <w:txbxContent>
                    <w:p w14:paraId="7EDA123B" w14:textId="2E90E49D" w:rsidR="005E3037" w:rsidRPr="00D431CA" w:rsidRDefault="005E3037" w:rsidP="005E3037">
                      <w:pPr>
                        <w:pStyle w:val="Caption"/>
                        <w:jc w:val="center"/>
                        <w:rPr>
                          <w:noProof/>
                          <w:color w:val="000000" w:themeColor="text1"/>
                          <w:sz w:val="22"/>
                          <w:szCs w:val="22"/>
                        </w:rPr>
                      </w:pPr>
                      <w:bookmarkStart w:id="86" w:name="_Toc213068740"/>
                      <w:r>
                        <w:t xml:space="preserve">Figure 4.4.2. </w:t>
                      </w:r>
                      <w:r>
                        <w:fldChar w:fldCharType="begin"/>
                      </w:r>
                      <w:r>
                        <w:instrText xml:space="preserve"> SEQ Figure_4.4.2. \* ARABIC </w:instrText>
                      </w:r>
                      <w:r>
                        <w:fldChar w:fldCharType="separate"/>
                      </w:r>
                      <w:r>
                        <w:rPr>
                          <w:noProof/>
                        </w:rPr>
                        <w:t>3</w:t>
                      </w:r>
                      <w:r>
                        <w:fldChar w:fldCharType="end"/>
                      </w:r>
                      <w:r>
                        <w:t xml:space="preserve"> Cross-Vendor Continuous Improvement Cadence</w:t>
                      </w:r>
                      <w:bookmarkEnd w:id="86"/>
                    </w:p>
                  </w:txbxContent>
                </v:textbox>
                <w10:wrap type="topAndBottom"/>
              </v:shape>
            </w:pict>
          </mc:Fallback>
        </mc:AlternateContent>
      </w:r>
      <w:r w:rsidR="00E97E0B">
        <w:rPr>
          <w:i/>
          <w:iCs/>
          <w:noProof/>
        </w:rPr>
        <w:drawing>
          <wp:anchor distT="0" distB="0" distL="114300" distR="114300" simplePos="0" relativeHeight="251658243" behindDoc="0" locked="0" layoutInCell="1" allowOverlap="1" wp14:anchorId="6B17E947" wp14:editId="4FF90408">
            <wp:simplePos x="0" y="0"/>
            <wp:positionH relativeFrom="column">
              <wp:posOffset>-59690</wp:posOffset>
            </wp:positionH>
            <wp:positionV relativeFrom="paragraph">
              <wp:posOffset>797685</wp:posOffset>
            </wp:positionV>
            <wp:extent cx="5851525" cy="2083435"/>
            <wp:effectExtent l="0" t="0" r="0" b="0"/>
            <wp:wrapTopAndBottom/>
            <wp:docPr id="1596840841" name="Picture 1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840841" name="Picture 15" descr="A screenshot of a computer&#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851525" cy="2083435"/>
                    </a:xfrm>
                    <a:prstGeom prst="rect">
                      <a:avLst/>
                    </a:prstGeom>
                  </pic:spPr>
                </pic:pic>
              </a:graphicData>
            </a:graphic>
            <wp14:sizeRelH relativeFrom="page">
              <wp14:pctWidth>0</wp14:pctWidth>
            </wp14:sizeRelH>
            <wp14:sizeRelV relativeFrom="page">
              <wp14:pctHeight>0</wp14:pctHeight>
            </wp14:sizeRelV>
          </wp:anchor>
        </w:drawing>
      </w:r>
      <w:r w:rsidR="00537A46" w:rsidRPr="00537A46">
        <w:rPr>
          <w:b/>
          <w:bCs/>
        </w:rPr>
        <w:t>Result:</w:t>
      </w:r>
      <w:r w:rsidR="00537A46" w:rsidRPr="00537A46">
        <w:t xml:space="preserve"> Continuous improvement becomes a shared responsibility, not an isolated effort. CalSAWS benefits from a unified, data-driven governance structure that enhances collaboration across all vendors without increasing oversight workload or resource demand.</w:t>
      </w:r>
    </w:p>
    <w:p w14:paraId="02FB5AC3" w14:textId="40EEF274" w:rsidR="00605F42" w:rsidRPr="00F04A91" w:rsidRDefault="00605F42" w:rsidP="00A82685">
      <w:pPr>
        <w:pStyle w:val="CS-IBMBullet1"/>
        <w:numPr>
          <w:ilvl w:val="0"/>
          <w:numId w:val="0"/>
        </w:numPr>
      </w:pPr>
      <w:r w:rsidRPr="00F8744E">
        <w:rPr>
          <w:b/>
          <w:bCs/>
        </w:rPr>
        <w:t xml:space="preserve">Continuous Learning and Optimization </w:t>
      </w:r>
    </w:p>
    <w:p w14:paraId="08B5B4FC" w14:textId="6AA689DE" w:rsidR="004C1A59" w:rsidRPr="004C1A59" w:rsidRDefault="004C1A59" w:rsidP="004C1A59">
      <w:r w:rsidRPr="004C1A59">
        <w:t>Ensuring a continuously more effective set of independent tests requires more than incremental updates</w:t>
      </w:r>
      <w:r>
        <w:t xml:space="preserve">, </w:t>
      </w:r>
      <w:r w:rsidRPr="004C1A59">
        <w:t>it requires a self-learning QA ecosystem. IBM’s approach transforms quality assurance into a closed-loop system that learns, adapts, and improves continuously.</w:t>
      </w:r>
    </w:p>
    <w:p w14:paraId="3DECE091" w14:textId="5164E3BF" w:rsidR="004C1A59" w:rsidRPr="004C1A59" w:rsidRDefault="004C1A59" w:rsidP="004C1A59">
      <w:r w:rsidRPr="004C1A59">
        <w:t>Through structured feedback loops, AI-driven analytics, and collaborative knowledge sharing, each release cycle informs the next. This approach ensures that testing becomes progressively smarter and more efficient over time</w:t>
      </w:r>
      <w:r>
        <w:t xml:space="preserve">, </w:t>
      </w:r>
      <w:r w:rsidRPr="004C1A59">
        <w:t>enhancing accuracy, coverage, and speed without adding resource burden to the CalSAWS Consortium.</w:t>
      </w:r>
    </w:p>
    <w:p w14:paraId="3A548E7F" w14:textId="12B676B2" w:rsidR="004C1A59" w:rsidRPr="004C1A59" w:rsidRDefault="004C1A59" w:rsidP="004C1A59">
      <w:r w:rsidRPr="004C1A59">
        <w:t>The “Continuous QA Effectiveness Loop” visual illustrates this dynamic cycle of learning and improvement. The loop moves through five key stages—Learn → Optimize → Govern → Execute → Measure → (back to Learn)</w:t>
      </w:r>
      <w:r>
        <w:t xml:space="preserve"> </w:t>
      </w:r>
      <w:r w:rsidRPr="004C1A59">
        <w:t>showing how IBM embeds quality intelligence into every stage of testing. This framework ensures that every test run generates data that fuels the next improvement, creating a sustainable, self-optimizing QA process.</w:t>
      </w:r>
    </w:p>
    <w:p w14:paraId="58EB61B9" w14:textId="77777777" w:rsidR="004C1A59" w:rsidRPr="004C1A59" w:rsidRDefault="004C1A59" w:rsidP="004C1A59">
      <w:pPr>
        <w:rPr>
          <w:b/>
          <w:bCs/>
        </w:rPr>
      </w:pPr>
      <w:r w:rsidRPr="004C1A59">
        <w:rPr>
          <w:b/>
          <w:bCs/>
        </w:rPr>
        <w:lastRenderedPageBreak/>
        <w:t>Key Continuous Optimization Tactics</w:t>
      </w:r>
    </w:p>
    <w:p w14:paraId="5910C9E7" w14:textId="77777777" w:rsidR="004C1A59" w:rsidRPr="004C1A59" w:rsidRDefault="004C1A59" w:rsidP="00CF7600">
      <w:pPr>
        <w:pStyle w:val="ListParagraph"/>
        <w:numPr>
          <w:ilvl w:val="0"/>
          <w:numId w:val="63"/>
        </w:numPr>
        <w:spacing w:before="0" w:after="0"/>
      </w:pPr>
      <w:r w:rsidRPr="004C1A59">
        <w:t>Release Retrospectives: After every release, IBM conducts retrospectives and root cause reviews to capture lessons learned. These findings are used to update QA process assets, standard operating procedures (SOPs), and templates, ensuring continuous refinement.</w:t>
      </w:r>
    </w:p>
    <w:p w14:paraId="741E78A2" w14:textId="77777777" w:rsidR="004C1A59" w:rsidRPr="004C1A59" w:rsidRDefault="004C1A59" w:rsidP="00CF7600">
      <w:pPr>
        <w:pStyle w:val="ListParagraph"/>
        <w:numPr>
          <w:ilvl w:val="0"/>
          <w:numId w:val="63"/>
        </w:numPr>
        <w:spacing w:before="0" w:after="0"/>
      </w:pPr>
      <w:r w:rsidRPr="004C1A59">
        <w:t>Defect Pattern Analysis: IBM uses AI-based clustering and analytics to identify recurring defect patterns. These insights help expand coverage in future test cycles, proactively preventing rework and production issues.</w:t>
      </w:r>
    </w:p>
    <w:p w14:paraId="22C0E01C" w14:textId="083DFD2E" w:rsidR="004C1A59" w:rsidRPr="004C1A59" w:rsidRDefault="004C1A59" w:rsidP="00CF7600">
      <w:pPr>
        <w:pStyle w:val="ListParagraph"/>
        <w:numPr>
          <w:ilvl w:val="0"/>
          <w:numId w:val="63"/>
        </w:numPr>
        <w:spacing w:before="0" w:after="0"/>
      </w:pPr>
      <w:r w:rsidRPr="004C1A59">
        <w:t>Lessons Learned Repository: All insights—optimized test cases, defect clusters, automation learnings—are captured in a shared QA Knowledge Repository accessible to CalSAWS and partner vendors, fostering collective improvement across the ecosystem.</w:t>
      </w:r>
    </w:p>
    <w:p w14:paraId="30A8731A" w14:textId="4B017390" w:rsidR="00DF0B2C" w:rsidRDefault="005E3037" w:rsidP="00F56C83">
      <w:pPr>
        <w:pStyle w:val="CS-IBMBullet1"/>
        <w:numPr>
          <w:ilvl w:val="0"/>
          <w:numId w:val="0"/>
        </w:numPr>
        <w:rPr>
          <w:b/>
          <w:bCs/>
        </w:rPr>
      </w:pPr>
      <w:r>
        <w:rPr>
          <w:rFonts w:eastAsia="IBM Plex Sans"/>
          <w:noProof/>
          <w:color w:val="0D0D0D" w:themeColor="text1" w:themeTint="F2"/>
        </w:rPr>
        <mc:AlternateContent>
          <mc:Choice Requires="wps">
            <w:drawing>
              <wp:anchor distT="0" distB="0" distL="114300" distR="114300" simplePos="0" relativeHeight="251658278" behindDoc="0" locked="0" layoutInCell="1" allowOverlap="1" wp14:anchorId="11BB25DF" wp14:editId="4C38560A">
                <wp:simplePos x="0" y="0"/>
                <wp:positionH relativeFrom="column">
                  <wp:posOffset>3175</wp:posOffset>
                </wp:positionH>
                <wp:positionV relativeFrom="paragraph">
                  <wp:posOffset>255270</wp:posOffset>
                </wp:positionV>
                <wp:extent cx="5935345" cy="1495425"/>
                <wp:effectExtent l="12700" t="12700" r="8255" b="15875"/>
                <wp:wrapTopAndBottom/>
                <wp:docPr id="1037835565" name="Text Box 29"/>
                <wp:cNvGraphicFramePr/>
                <a:graphic xmlns:a="http://schemas.openxmlformats.org/drawingml/2006/main">
                  <a:graphicData uri="http://schemas.microsoft.com/office/word/2010/wordprocessingShape">
                    <wps:wsp>
                      <wps:cNvSpPr txBox="1"/>
                      <wps:spPr>
                        <a:xfrm>
                          <a:off x="0" y="0"/>
                          <a:ext cx="5935345" cy="1495425"/>
                        </a:xfrm>
                        <a:prstGeom prst="rect">
                          <a:avLst/>
                        </a:prstGeom>
                        <a:solidFill>
                          <a:schemeClr val="bg1"/>
                        </a:solidFill>
                        <a:ln w="28575">
                          <a:solidFill>
                            <a:srgbClr val="006699"/>
                          </a:solidFill>
                        </a:ln>
                      </wps:spPr>
                      <wps:txbx>
                        <w:txbxContent>
                          <w:p w14:paraId="1769A376" w14:textId="3582CE1C" w:rsidR="005E3037" w:rsidRPr="00CB6778" w:rsidRDefault="005E3037" w:rsidP="005E3037">
                            <w:pPr>
                              <w:jc w:val="center"/>
                            </w:pPr>
                            <w:r w:rsidRPr="00F8744E">
                              <w:rPr>
                                <w:b/>
                                <w:bCs/>
                              </w:rPr>
                              <w:t>Result</w:t>
                            </w:r>
                            <w:r w:rsidRPr="00F04A91">
                              <w:t xml:space="preserve">: </w:t>
                            </w:r>
                            <w:r w:rsidRPr="004C1A59">
                              <w:t xml:space="preserve">IBM’s continuous improvement model ensures that QA evolves as a </w:t>
                            </w:r>
                            <w:r>
                              <w:t xml:space="preserve">Figure 4.4.2.5 Automation Pipeline with IQP. </w:t>
                            </w:r>
                            <w:r w:rsidR="009B1E4A">
                              <w:t>Plus,</w:t>
                            </w:r>
                            <w:r>
                              <w:t xml:space="preserve"> </w:t>
                            </w:r>
                            <w:r w:rsidRPr="004C1A59">
                              <w:t>the last, driving measurable quality gains and operational efficiency—while</w:t>
                            </w:r>
                            <w:r>
                              <w:t xml:space="preserve"> Figure 4.4.2.7 Continuous QA Governance Dashboard </w:t>
                            </w:r>
                            <w:r w:rsidRPr="004C1A59">
                              <w:t>that QA evolves as a living asset, not a static deliverable. Each release builds on the intelligence of the last, driving measurable quality gains and operational efficiency—while keeping CalSAWS resource levels constant</w:t>
                            </w:r>
                            <w:r w:rsidRPr="00F04A91">
                              <w:t>.</w:t>
                            </w:r>
                          </w:p>
                          <w:p w14:paraId="74AA796E" w14:textId="77E66677" w:rsidR="005E3037" w:rsidRPr="00CB6778" w:rsidRDefault="005E3037" w:rsidP="005E3037"/>
                        </w:txbxContent>
                      </wps:txbx>
                      <wps:bodyPr rot="0" spcFirstLastPara="0" vertOverflow="overflow" horzOverflow="overflow" vert="horz" wrap="square" lIns="182880" tIns="0" rIns="18288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B25DF" id="_x0000_s1045" type="#_x0000_t202" style="position:absolute;margin-left:.25pt;margin-top:20.1pt;width:467.35pt;height:117.75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" fillcolor="white [3212]" strokecolor="#069" strokeweight="2.25pt">
                <v:textbox inset="14.4pt,0,14.4pt,7.2pt">
                  <w:txbxContent>
                    <w:p w14:paraId="1769A376" w14:textId="3582CE1C" w:rsidR="005E3037" w:rsidRPr="00CB6778" w:rsidRDefault="005E3037" w:rsidP="005E3037">
                      <w:pPr>
                        <w:jc w:val="center"/>
                      </w:pPr>
                      <w:r w:rsidRPr="00F8744E">
                        <w:rPr>
                          <w:b/>
                          <w:bCs/>
                        </w:rPr>
                        <w:t>Result</w:t>
                      </w:r>
                      <w:r w:rsidRPr="00F04A91">
                        <w:t xml:space="preserve">: </w:t>
                      </w:r>
                      <w:r w:rsidRPr="004C1A59">
                        <w:t xml:space="preserve">IBM’s continuous improvement model ensures that QA evolves as a </w:t>
                      </w:r>
                      <w:r>
                        <w:t xml:space="preserve">Figure 4.4.2.5 Automation Pipeline with IQP. </w:t>
                      </w:r>
                      <w:r w:rsidR="009B1E4A">
                        <w:t>Plus,</w:t>
                      </w:r>
                      <w:r>
                        <w:t xml:space="preserve"> </w:t>
                      </w:r>
                      <w:r w:rsidRPr="004C1A59">
                        <w:t>the last, driving measurable quality gains and operational efficiency—while</w:t>
                      </w:r>
                      <w:r>
                        <w:t xml:space="preserve"> Figure 4.4.2.7 Continuous QA Governance Dashboard </w:t>
                      </w:r>
                      <w:r w:rsidRPr="004C1A59">
                        <w:t>that QA evolves as a living asset, not a static deliverable. Each release builds on the intelligence of the last, driving measurable quality gains and operational efficiency—while keeping CalSAWS resource levels constant</w:t>
                      </w:r>
                      <w:r w:rsidRPr="00F04A91">
                        <w:t>.</w:t>
                      </w:r>
                    </w:p>
                    <w:p w14:paraId="74AA796E" w14:textId="77E66677" w:rsidR="005E3037" w:rsidRPr="00CB6778" w:rsidRDefault="005E3037" w:rsidP="005E3037"/>
                  </w:txbxContent>
                </v:textbox>
                <w10:wrap type="topAndBottom"/>
              </v:shape>
            </w:pict>
          </mc:Fallback>
        </mc:AlternateContent>
      </w:r>
    </w:p>
    <w:p w14:paraId="26A5B8DB" w14:textId="409769EE" w:rsidR="009D31A5" w:rsidRDefault="009D31A5" w:rsidP="00955848">
      <w:pPr>
        <w:pStyle w:val="CS-IBMResponseText"/>
        <w:rPr>
          <w:b/>
          <w:bCs/>
        </w:rPr>
      </w:pPr>
    </w:p>
    <w:p w14:paraId="3B07D1DB" w14:textId="60AE7635" w:rsidR="009D31A5" w:rsidRDefault="005E3037" w:rsidP="00955848">
      <w:pPr>
        <w:pStyle w:val="CS-IBMResponseText"/>
        <w:rPr>
          <w:b/>
          <w:bCs/>
        </w:rPr>
      </w:pPr>
      <w:r>
        <w:rPr>
          <w:noProof/>
        </w:rPr>
        <w:drawing>
          <wp:anchor distT="0" distB="0" distL="114300" distR="114300" simplePos="0" relativeHeight="251658273" behindDoc="0" locked="0" layoutInCell="1" allowOverlap="1" wp14:anchorId="375466B4" wp14:editId="6F952956">
            <wp:simplePos x="0" y="0"/>
            <wp:positionH relativeFrom="column">
              <wp:posOffset>1621155</wp:posOffset>
            </wp:positionH>
            <wp:positionV relativeFrom="paragraph">
              <wp:posOffset>40005</wp:posOffset>
            </wp:positionV>
            <wp:extent cx="2856230" cy="3030220"/>
            <wp:effectExtent l="0" t="0" r="1270" b="5080"/>
            <wp:wrapTopAndBottom/>
            <wp:docPr id="406884092" name="Picture 16"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884092" name="Picture 16" descr="A diagram of a diagram&#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56230" cy="303022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77" behindDoc="0" locked="0" layoutInCell="1" allowOverlap="1" wp14:anchorId="6D046FB4" wp14:editId="345D63D0">
                <wp:simplePos x="0" y="0"/>
                <wp:positionH relativeFrom="column">
                  <wp:posOffset>1621155</wp:posOffset>
                </wp:positionH>
                <wp:positionV relativeFrom="paragraph">
                  <wp:posOffset>3127375</wp:posOffset>
                </wp:positionV>
                <wp:extent cx="2856230" cy="635"/>
                <wp:effectExtent l="0" t="0" r="1270" b="12065"/>
                <wp:wrapTopAndBottom/>
                <wp:docPr id="2119158832" name="Text Box 1"/>
                <wp:cNvGraphicFramePr/>
                <a:graphic xmlns:a="http://schemas.openxmlformats.org/drawingml/2006/main">
                  <a:graphicData uri="http://schemas.microsoft.com/office/word/2010/wordprocessingShape">
                    <wps:wsp>
                      <wps:cNvSpPr txBox="1"/>
                      <wps:spPr>
                        <a:xfrm>
                          <a:off x="0" y="0"/>
                          <a:ext cx="2856230" cy="635"/>
                        </a:xfrm>
                        <a:prstGeom prst="rect">
                          <a:avLst/>
                        </a:prstGeom>
                        <a:solidFill>
                          <a:prstClr val="white"/>
                        </a:solidFill>
                        <a:ln>
                          <a:noFill/>
                        </a:ln>
                      </wps:spPr>
                      <wps:txbx>
                        <w:txbxContent>
                          <w:p w14:paraId="291A3E35" w14:textId="51939359" w:rsidR="005E3037" w:rsidRPr="00265C06" w:rsidRDefault="005E3037" w:rsidP="005E3037">
                            <w:pPr>
                              <w:pStyle w:val="Caption"/>
                              <w:jc w:val="center"/>
                              <w:rPr>
                                <w:rFonts w:cs="Arial"/>
                                <w:noProof/>
                                <w:color w:val="0D0D0D" w:themeColor="text1" w:themeTint="F2"/>
                                <w:sz w:val="22"/>
                                <w:szCs w:val="21"/>
                              </w:rPr>
                            </w:pPr>
                            <w:bookmarkStart w:id="87" w:name="_Toc213068741"/>
                            <w:r>
                              <w:t xml:space="preserve">Figure 4.4.2. </w:t>
                            </w:r>
                            <w:r>
                              <w:fldChar w:fldCharType="begin"/>
                            </w:r>
                            <w:r>
                              <w:instrText xml:space="preserve"> SEQ Figure_4.4.2. \* ARABIC </w:instrText>
                            </w:r>
                            <w:r>
                              <w:fldChar w:fldCharType="separate"/>
                            </w:r>
                            <w:r>
                              <w:rPr>
                                <w:noProof/>
                              </w:rPr>
                              <w:t>4</w:t>
                            </w:r>
                            <w:r>
                              <w:fldChar w:fldCharType="end"/>
                            </w:r>
                            <w:r>
                              <w:t xml:space="preserve"> Continuous QA Effective Loop</w:t>
                            </w:r>
                            <w:bookmarkEnd w:id="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D046FB4" id="_x0000_s1046" type="#_x0000_t202" style="position:absolute;margin-left:127.65pt;margin-top:246.25pt;width:224.9pt;height:.05pt;z-index:2516582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" stroked="f">
                <v:textbox style="mso-fit-shape-to-text:t" inset="0,0,0,0">
                  <w:txbxContent>
                    <w:p w14:paraId="291A3E35" w14:textId="51939359" w:rsidR="005E3037" w:rsidRPr="00265C06" w:rsidRDefault="005E3037" w:rsidP="005E3037">
                      <w:pPr>
                        <w:pStyle w:val="Caption"/>
                        <w:jc w:val="center"/>
                        <w:rPr>
                          <w:rFonts w:cs="Arial"/>
                          <w:noProof/>
                          <w:color w:val="0D0D0D" w:themeColor="text1" w:themeTint="F2"/>
                          <w:sz w:val="22"/>
                          <w:szCs w:val="21"/>
                        </w:rPr>
                      </w:pPr>
                      <w:bookmarkStart w:id="88" w:name="_Toc213068741"/>
                      <w:r>
                        <w:t xml:space="preserve">Figure 4.4.2. </w:t>
                      </w:r>
                      <w:r>
                        <w:fldChar w:fldCharType="begin"/>
                      </w:r>
                      <w:r>
                        <w:instrText xml:space="preserve"> SEQ Figure_4.4.2. \* ARABIC </w:instrText>
                      </w:r>
                      <w:r>
                        <w:fldChar w:fldCharType="separate"/>
                      </w:r>
                      <w:r>
                        <w:rPr>
                          <w:noProof/>
                        </w:rPr>
                        <w:t>4</w:t>
                      </w:r>
                      <w:r>
                        <w:fldChar w:fldCharType="end"/>
                      </w:r>
                      <w:r>
                        <w:t xml:space="preserve"> Continuous QA Effective Loop</w:t>
                      </w:r>
                      <w:bookmarkEnd w:id="88"/>
                    </w:p>
                  </w:txbxContent>
                </v:textbox>
                <w10:wrap type="topAndBottom"/>
              </v:shape>
            </w:pict>
          </mc:Fallback>
        </mc:AlternateContent>
      </w:r>
    </w:p>
    <w:p w14:paraId="50122C64" w14:textId="733135AE" w:rsidR="009D31A5" w:rsidRDefault="009D31A5" w:rsidP="00955848">
      <w:pPr>
        <w:pStyle w:val="CS-IBMResponseText"/>
        <w:rPr>
          <w:b/>
          <w:bCs/>
        </w:rPr>
      </w:pPr>
    </w:p>
    <w:p w14:paraId="7A2670D8" w14:textId="523F6BF2" w:rsidR="00605F42" w:rsidRPr="00F04A91" w:rsidRDefault="00605F42" w:rsidP="00955848">
      <w:pPr>
        <w:pStyle w:val="CS-IBMResponseText"/>
      </w:pPr>
      <w:r w:rsidRPr="00F8744E">
        <w:rPr>
          <w:b/>
          <w:bCs/>
        </w:rPr>
        <w:t>Predictive Quality and Early Warning Framework</w:t>
      </w:r>
      <w:r w:rsidRPr="00F8744E">
        <w:rPr>
          <w:i/>
          <w:iCs/>
        </w:rPr>
        <w:t xml:space="preserve"> </w:t>
      </w:r>
    </w:p>
    <w:p w14:paraId="2FC41976" w14:textId="724DFF0A" w:rsidR="00605F42" w:rsidRPr="00F04A91" w:rsidRDefault="00605F42" w:rsidP="00955848">
      <w:pPr>
        <w:pStyle w:val="CS-IBMResponseText"/>
      </w:pPr>
      <w:r w:rsidRPr="00F04A91">
        <w:lastRenderedPageBreak/>
        <w:t xml:space="preserve">IBM integrates predictive analytics into the QA process to detect declining quality trends before they impact delivery. This is not retrospective </w:t>
      </w:r>
      <w:r w:rsidR="009D4AD7" w:rsidRPr="00F04A91">
        <w:t>reporting</w:t>
      </w:r>
      <w:r w:rsidR="009D4AD7">
        <w:t>;</w:t>
      </w:r>
      <w:r w:rsidR="003F6F83">
        <w:t xml:space="preserve"> </w:t>
      </w:r>
      <w:r w:rsidRPr="00F04A91">
        <w:t>it is proactive risk detection.</w:t>
      </w:r>
    </w:p>
    <w:p w14:paraId="11119B9D" w14:textId="77777777" w:rsidR="00605F42" w:rsidRPr="00F04A91" w:rsidRDefault="00605F42" w:rsidP="00955848">
      <w:pPr>
        <w:pStyle w:val="CS-IBMResponseText"/>
      </w:pPr>
      <w:r w:rsidRPr="00F04A91">
        <w:t>Early Warning Indicators:</w:t>
      </w:r>
    </w:p>
    <w:p w14:paraId="6B8B7E0B" w14:textId="77777777" w:rsidR="00605F42" w:rsidRPr="00F04A91" w:rsidRDefault="00605F42" w:rsidP="00994549">
      <w:pPr>
        <w:pStyle w:val="CS-IBMBullet1"/>
      </w:pPr>
      <w:r w:rsidRPr="00F04A91">
        <w:t>Spike in reopened defects indicates weak regression coverage.</w:t>
      </w:r>
    </w:p>
    <w:p w14:paraId="616F6C0C" w14:textId="77777777" w:rsidR="00605F42" w:rsidRPr="00F04A91" w:rsidRDefault="00605F42" w:rsidP="00994549">
      <w:pPr>
        <w:pStyle w:val="CS-IBMBullet1"/>
      </w:pPr>
      <w:r w:rsidRPr="00F04A91">
        <w:t>Defect clustering around new policy logic signals ambiguous requirements.</w:t>
      </w:r>
    </w:p>
    <w:p w14:paraId="0A90F289" w14:textId="77777777" w:rsidR="00605F42" w:rsidRPr="00F04A91" w:rsidRDefault="00605F42" w:rsidP="00994549">
      <w:pPr>
        <w:pStyle w:val="CS-IBMBullet1"/>
      </w:pPr>
      <w:r w:rsidRPr="00F04A91">
        <w:t>Declining automation pass rate suggests UI/UX changes not accounted for.</w:t>
      </w:r>
    </w:p>
    <w:p w14:paraId="75B53401" w14:textId="77777777" w:rsidR="00605F42" w:rsidRPr="00F04A91" w:rsidRDefault="00605F42" w:rsidP="00994549">
      <w:pPr>
        <w:pStyle w:val="CS-IBMBullet1"/>
      </w:pPr>
      <w:r w:rsidRPr="00F04A91">
        <w:t>Reduced execution velocity highlights process bottlenecks.</w:t>
      </w:r>
    </w:p>
    <w:p w14:paraId="4398FA15" w14:textId="561D9A35" w:rsidR="00605F42" w:rsidRPr="00F04A91" w:rsidRDefault="00605F42" w:rsidP="00955848">
      <w:pPr>
        <w:pStyle w:val="CS-IBMResponseText"/>
      </w:pPr>
      <w:r w:rsidRPr="00F04A91">
        <w:t>These signals are surfaced in IBM’s Early Warning Framework (EWF) dashboards for immediate action</w:t>
      </w:r>
      <w:r w:rsidR="00CD1D5D">
        <w:t xml:space="preserve">. EWF provides insight into </w:t>
      </w:r>
      <w:r w:rsidR="00067885">
        <w:t>possible defects, which helps to avoid rework later in the</w:t>
      </w:r>
      <w:r w:rsidR="00D51F5E">
        <w:t xml:space="preserve"> development lifecycle.</w:t>
      </w:r>
    </w:p>
    <w:p w14:paraId="5EBECADF" w14:textId="77777777" w:rsidR="00605F42" w:rsidRPr="00F04A91" w:rsidRDefault="00605F42" w:rsidP="00955848">
      <w:pPr>
        <w:pStyle w:val="CS-IBMResponseText"/>
      </w:pPr>
      <w:r w:rsidRPr="00F04A91">
        <w:t>Benefits:</w:t>
      </w:r>
    </w:p>
    <w:p w14:paraId="5879C5A5" w14:textId="77777777" w:rsidR="00605F42" w:rsidRPr="00F04A91" w:rsidRDefault="00605F42" w:rsidP="00994549">
      <w:pPr>
        <w:pStyle w:val="CS-IBMBullet1"/>
      </w:pPr>
      <w:r w:rsidRPr="00F04A91">
        <w:t>Prevents inefficiencies from becoming systemic issues.</w:t>
      </w:r>
    </w:p>
    <w:p w14:paraId="52A035B7" w14:textId="77777777" w:rsidR="00605F42" w:rsidRPr="00F04A91" w:rsidRDefault="00605F42" w:rsidP="00994549">
      <w:pPr>
        <w:pStyle w:val="CS-IBMBullet1"/>
      </w:pPr>
      <w:r w:rsidRPr="00F04A91">
        <w:t>Enables selective test focus without increasing workload.</w:t>
      </w:r>
    </w:p>
    <w:p w14:paraId="67398119" w14:textId="77777777" w:rsidR="00605F42" w:rsidRPr="00F04A91" w:rsidRDefault="00605F42" w:rsidP="00994549">
      <w:pPr>
        <w:pStyle w:val="CS-IBMBullet1"/>
      </w:pPr>
      <w:r w:rsidRPr="00F04A91">
        <w:t>Drives smarter decision-making across vendors.</w:t>
      </w:r>
    </w:p>
    <w:p w14:paraId="241A9132" w14:textId="16D4FD0E" w:rsidR="00605F42" w:rsidRPr="005B0F29" w:rsidRDefault="009D4AD7" w:rsidP="005B0F29">
      <w:pPr>
        <w:pStyle w:val="CS-IBMResponseText"/>
        <w:ind w:firstLine="360"/>
        <w:rPr>
          <w:b/>
          <w:bCs/>
          <w:i/>
          <w:iCs/>
          <w:sz w:val="18"/>
          <w:szCs w:val="18"/>
        </w:rPr>
      </w:pPr>
      <w:r w:rsidRPr="005B0F29">
        <w:rPr>
          <w:b/>
          <w:bCs/>
          <w:i/>
          <w:iCs/>
          <w:sz w:val="18"/>
          <w:szCs w:val="18"/>
        </w:rPr>
        <w:t xml:space="preserve">(Note: EWF is described in the </w:t>
      </w:r>
      <w:r w:rsidR="0062644A" w:rsidRPr="005B0F29">
        <w:rPr>
          <w:b/>
          <w:bCs/>
          <w:i/>
          <w:iCs/>
          <w:sz w:val="18"/>
          <w:szCs w:val="18"/>
        </w:rPr>
        <w:t xml:space="preserve">UA4 </w:t>
      </w:r>
      <w:r w:rsidRPr="005B0F29">
        <w:rPr>
          <w:b/>
          <w:bCs/>
          <w:i/>
          <w:iCs/>
          <w:sz w:val="18"/>
          <w:szCs w:val="18"/>
        </w:rPr>
        <w:t>sections above)</w:t>
      </w:r>
    </w:p>
    <w:p w14:paraId="73F33224" w14:textId="77777777" w:rsidR="0090425B" w:rsidRDefault="0090425B" w:rsidP="00955848">
      <w:pPr>
        <w:pStyle w:val="CS-IBMResponseText"/>
        <w:rPr>
          <w:color w:val="0070C0"/>
          <w:sz w:val="28"/>
          <w:szCs w:val="28"/>
        </w:rPr>
      </w:pPr>
    </w:p>
    <w:p w14:paraId="2A410155" w14:textId="660BF642" w:rsidR="00605F42" w:rsidRPr="000C7BF6" w:rsidRDefault="00605F42" w:rsidP="00955848">
      <w:pPr>
        <w:pStyle w:val="CS-IBMResponseText"/>
        <w:rPr>
          <w:sz w:val="28"/>
          <w:szCs w:val="28"/>
        </w:rPr>
      </w:pPr>
      <w:r w:rsidRPr="000C7BF6">
        <w:rPr>
          <w:color w:val="0070C0"/>
          <w:sz w:val="28"/>
          <w:szCs w:val="28"/>
        </w:rPr>
        <w:t xml:space="preserve">Automation-Driven Continuous Improvement </w:t>
      </w:r>
    </w:p>
    <w:p w14:paraId="28D7F305" w14:textId="7B69EBD5" w:rsidR="00605F42" w:rsidRPr="00F04A91" w:rsidRDefault="00605F42" w:rsidP="00955848">
      <w:pPr>
        <w:pStyle w:val="CS-IBMResponseText"/>
      </w:pPr>
      <w:r w:rsidRPr="00F04A91">
        <w:t xml:space="preserve">Automation is the engine behind IBM’s ability to improve quality without adding CalSAWS resources. IBM’s </w:t>
      </w:r>
      <w:r w:rsidR="002077A5">
        <w:t>IGNITE</w:t>
      </w:r>
      <w:r w:rsidRPr="00F04A91">
        <w:t xml:space="preserve"> Quality Platform (IQP Plus) not only executes scripts</w:t>
      </w:r>
      <w:r w:rsidR="005B0F29">
        <w:t xml:space="preserve"> </w:t>
      </w:r>
      <w:r w:rsidRPr="00F04A91">
        <w:t>it optimizes, self-heals, and evolves them over time.</w:t>
      </w:r>
    </w:p>
    <w:p w14:paraId="3C43926F" w14:textId="0DF79B75" w:rsidR="00605F42" w:rsidRPr="00994549" w:rsidRDefault="00605F42" w:rsidP="00955848">
      <w:pPr>
        <w:pStyle w:val="CS-IBMResponseText"/>
        <w:rPr>
          <w:i/>
          <w:iCs/>
        </w:rPr>
      </w:pPr>
      <w:r w:rsidRPr="00906022">
        <w:rPr>
          <w:b/>
          <w:bCs/>
        </w:rPr>
        <w:t xml:space="preserve">Self-Healing Test Scripts </w:t>
      </w:r>
    </w:p>
    <w:p w14:paraId="075584AB" w14:textId="77777777" w:rsidR="00605F42" w:rsidRPr="00F04A91" w:rsidRDefault="00605F42" w:rsidP="00955848">
      <w:pPr>
        <w:pStyle w:val="CS-IBMResponseText"/>
      </w:pPr>
      <w:r w:rsidRPr="00F04A91">
        <w:t>IQP Plus uses AI to detect when UI elements change and automatically updates scripts.</w:t>
      </w:r>
    </w:p>
    <w:p w14:paraId="76CF4D83" w14:textId="77777777" w:rsidR="00605F42" w:rsidRPr="00F04A91" w:rsidRDefault="00605F42" w:rsidP="00906022">
      <w:pPr>
        <w:pStyle w:val="CS-IBMBullet1"/>
      </w:pPr>
      <w:r w:rsidRPr="00906022">
        <w:rPr>
          <w:b/>
          <w:bCs/>
        </w:rPr>
        <w:t>Result</w:t>
      </w:r>
      <w:r w:rsidRPr="00F04A91">
        <w:t>: Up to 40% reduction in automation maintenance effort.</w:t>
      </w:r>
    </w:p>
    <w:p w14:paraId="09DDA00A" w14:textId="77777777" w:rsidR="00605F42" w:rsidRPr="00F04A91" w:rsidRDefault="00605F42" w:rsidP="00906022">
      <w:pPr>
        <w:pStyle w:val="CS-IBMBullet1"/>
      </w:pPr>
      <w:r w:rsidRPr="00906022">
        <w:rPr>
          <w:b/>
          <w:bCs/>
        </w:rPr>
        <w:t>Impact</w:t>
      </w:r>
      <w:r w:rsidRPr="00F04A91">
        <w:t>: CalSAWS does not need to add staff to maintain automation.</w:t>
      </w:r>
    </w:p>
    <w:p w14:paraId="4BD3C97A" w14:textId="5C5D0A21" w:rsidR="00605F42" w:rsidRPr="00F04A91" w:rsidRDefault="00605F42" w:rsidP="00955848">
      <w:pPr>
        <w:pStyle w:val="CS-IBMResponseText"/>
      </w:pPr>
      <w:r w:rsidRPr="00906022">
        <w:rPr>
          <w:b/>
          <w:bCs/>
        </w:rPr>
        <w:t>Model-Based Test Optimization</w:t>
      </w:r>
    </w:p>
    <w:p w14:paraId="16E531A7" w14:textId="77777777" w:rsidR="00605F42" w:rsidRPr="00F04A91" w:rsidRDefault="00605F42" w:rsidP="00906022">
      <w:pPr>
        <w:pStyle w:val="CS-IBMBullet1"/>
      </w:pPr>
      <w:r w:rsidRPr="00F04A91">
        <w:t>IQP Plus evaluates test flow models and identifies low-value or redundant test cases.</w:t>
      </w:r>
    </w:p>
    <w:p w14:paraId="71AE8F75" w14:textId="77777777" w:rsidR="00605F42" w:rsidRPr="00F04A91" w:rsidRDefault="00605F42" w:rsidP="00906022">
      <w:pPr>
        <w:pStyle w:val="CS-IBMBullet1"/>
      </w:pPr>
      <w:r w:rsidRPr="00F04A91">
        <w:t>Eliminates unnecessary scripts while maintaining full coverage.</w:t>
      </w:r>
    </w:p>
    <w:p w14:paraId="28382A44" w14:textId="6CEB05DB" w:rsidR="00906022" w:rsidRDefault="00605F42" w:rsidP="00906022">
      <w:pPr>
        <w:pStyle w:val="CS-IBMBullet1"/>
      </w:pPr>
      <w:r w:rsidRPr="00F04A91">
        <w:t>Maximizes efficiency and accuracy with fewer tests.</w:t>
      </w:r>
      <w:r w:rsidR="00906022">
        <w:t xml:space="preserve"> </w:t>
      </w:r>
    </w:p>
    <w:p w14:paraId="4FC5E3DD" w14:textId="785A7D69" w:rsidR="00605F42" w:rsidRPr="00F04A91" w:rsidRDefault="00605F42" w:rsidP="00906022">
      <w:pPr>
        <w:pStyle w:val="CS-IBMResponseText"/>
      </w:pPr>
      <w:r w:rsidRPr="00906022">
        <w:rPr>
          <w:b/>
          <w:bCs/>
        </w:rPr>
        <w:t>Intelligent Test Selection</w:t>
      </w:r>
    </w:p>
    <w:p w14:paraId="75C36DB3" w14:textId="77777777" w:rsidR="00605F42" w:rsidRPr="00F04A91" w:rsidRDefault="00605F42" w:rsidP="00955848">
      <w:pPr>
        <w:pStyle w:val="CS-IBMResponseText"/>
      </w:pPr>
      <w:r w:rsidRPr="00F04A91">
        <w:t>AI-based algorithms determine the most relevant test cases to execute based on recent code changes or high-risk functionality.</w:t>
      </w:r>
    </w:p>
    <w:p w14:paraId="655452C1" w14:textId="77777777" w:rsidR="00605F42" w:rsidRPr="00CC5EF2" w:rsidRDefault="00605F42" w:rsidP="00DE3B76">
      <w:pPr>
        <w:pStyle w:val="CS-IBMBullet1"/>
        <w:rPr>
          <w:b/>
          <w:bCs/>
        </w:rPr>
      </w:pPr>
      <w:r w:rsidRPr="00F04A91">
        <w:t>Enables r</w:t>
      </w:r>
      <w:r w:rsidRPr="00CC5EF2">
        <w:rPr>
          <w:b/>
          <w:bCs/>
        </w:rPr>
        <w:t>isk-based regression without expanding workload.</w:t>
      </w:r>
    </w:p>
    <w:p w14:paraId="2A88533F" w14:textId="464C55BC" w:rsidR="00605F42" w:rsidRPr="00F04A91" w:rsidRDefault="00605F42" w:rsidP="00955848">
      <w:pPr>
        <w:pStyle w:val="CS-IBMResponseText"/>
      </w:pPr>
      <w:r w:rsidRPr="00FB2040">
        <w:rPr>
          <w:b/>
          <w:bCs/>
        </w:rPr>
        <w:t>Continuous Integration and Automated Pipelines</w:t>
      </w:r>
    </w:p>
    <w:p w14:paraId="07D164A0" w14:textId="77777777" w:rsidR="00FB2040" w:rsidRDefault="00605F42" w:rsidP="00955848">
      <w:pPr>
        <w:pStyle w:val="CS-IBMResponseText"/>
      </w:pPr>
      <w:r w:rsidRPr="00F04A91">
        <w:t>IQP Plus integrates directly into CalSAWS CI/CD pipelines (Jenkins, GitHub, AWS).</w:t>
      </w:r>
    </w:p>
    <w:p w14:paraId="4AEE55DA" w14:textId="070E11B7" w:rsidR="00605F42" w:rsidRDefault="00605F42" w:rsidP="00955848">
      <w:pPr>
        <w:pStyle w:val="CS-IBMResponseText"/>
      </w:pPr>
      <w:r w:rsidRPr="00F04A91">
        <w:t>Every code promotion triggers:</w:t>
      </w:r>
    </w:p>
    <w:p w14:paraId="34606E5A" w14:textId="77777777" w:rsidR="00605F42" w:rsidRPr="00F04A91" w:rsidRDefault="00605F42" w:rsidP="00FB2040">
      <w:pPr>
        <w:pStyle w:val="CS-IBMBullet1"/>
      </w:pPr>
      <w:r w:rsidRPr="00F04A91">
        <w:t>Automated smoke/regression tests.</w:t>
      </w:r>
    </w:p>
    <w:p w14:paraId="72764A95" w14:textId="77777777" w:rsidR="00605F42" w:rsidRPr="00F04A91" w:rsidRDefault="00605F42" w:rsidP="00FB2040">
      <w:pPr>
        <w:pStyle w:val="CS-IBMBullet1"/>
      </w:pPr>
      <w:r w:rsidRPr="00F04A91">
        <w:lastRenderedPageBreak/>
        <w:t>Accessibility and security checks.</w:t>
      </w:r>
    </w:p>
    <w:p w14:paraId="3F1838CE" w14:textId="77777777" w:rsidR="00605F42" w:rsidRPr="00F04A91" w:rsidRDefault="00605F42" w:rsidP="00FB2040">
      <w:pPr>
        <w:pStyle w:val="CS-IBMBullet1"/>
      </w:pPr>
      <w:r w:rsidRPr="00F04A91">
        <w:t>Test data provisioning and cleanup.</w:t>
      </w:r>
    </w:p>
    <w:p w14:paraId="2CFE09F4" w14:textId="5B73C847" w:rsidR="00605F42" w:rsidRPr="008273E9" w:rsidRDefault="005E3037" w:rsidP="00955848">
      <w:pPr>
        <w:pStyle w:val="CS-IBMBullet1"/>
        <w:rPr>
          <w:i/>
        </w:rPr>
      </w:pPr>
      <w:r>
        <w:rPr>
          <w:noProof/>
        </w:rPr>
        <mc:AlternateContent>
          <mc:Choice Requires="wps">
            <w:drawing>
              <wp:anchor distT="0" distB="0" distL="114300" distR="114300" simplePos="0" relativeHeight="251658279" behindDoc="0" locked="0" layoutInCell="1" allowOverlap="1" wp14:anchorId="03D72C74" wp14:editId="5DA28C77">
                <wp:simplePos x="0" y="0"/>
                <wp:positionH relativeFrom="column">
                  <wp:posOffset>13335</wp:posOffset>
                </wp:positionH>
                <wp:positionV relativeFrom="paragraph">
                  <wp:posOffset>1420495</wp:posOffset>
                </wp:positionV>
                <wp:extent cx="5868670" cy="635"/>
                <wp:effectExtent l="0" t="0" r="0" b="12065"/>
                <wp:wrapTopAndBottom/>
                <wp:docPr id="1519387361" name="Text Box 1"/>
                <wp:cNvGraphicFramePr/>
                <a:graphic xmlns:a="http://schemas.openxmlformats.org/drawingml/2006/main">
                  <a:graphicData uri="http://schemas.microsoft.com/office/word/2010/wordprocessingShape">
                    <wps:wsp>
                      <wps:cNvSpPr txBox="1"/>
                      <wps:spPr>
                        <a:xfrm>
                          <a:off x="0" y="0"/>
                          <a:ext cx="5868670" cy="635"/>
                        </a:xfrm>
                        <a:prstGeom prst="rect">
                          <a:avLst/>
                        </a:prstGeom>
                        <a:solidFill>
                          <a:prstClr val="white"/>
                        </a:solidFill>
                        <a:ln>
                          <a:noFill/>
                        </a:ln>
                      </wps:spPr>
                      <wps:txbx>
                        <w:txbxContent>
                          <w:p w14:paraId="578D1BE3" w14:textId="3F92A3C1" w:rsidR="005E3037" w:rsidRPr="00685CBE" w:rsidRDefault="005E3037" w:rsidP="005E3037">
                            <w:pPr>
                              <w:pStyle w:val="Caption"/>
                              <w:jc w:val="center"/>
                              <w:rPr>
                                <w:rFonts w:cs="Arial"/>
                                <w:noProof/>
                                <w:color w:val="000000" w:themeColor="text1"/>
                                <w:sz w:val="22"/>
                                <w:szCs w:val="21"/>
                              </w:rPr>
                            </w:pPr>
                            <w:bookmarkStart w:id="89" w:name="_Toc213068742"/>
                            <w:r>
                              <w:t xml:space="preserve">Figure 4.4.2. </w:t>
                            </w:r>
                            <w:r>
                              <w:fldChar w:fldCharType="begin"/>
                            </w:r>
                            <w:r>
                              <w:instrText xml:space="preserve"> SEQ Figure_4.4.2. \* ARABIC </w:instrText>
                            </w:r>
                            <w:r>
                              <w:fldChar w:fldCharType="separate"/>
                            </w:r>
                            <w:r>
                              <w:rPr>
                                <w:noProof/>
                              </w:rPr>
                              <w:t>5</w:t>
                            </w:r>
                            <w:r>
                              <w:fldChar w:fldCharType="end"/>
                            </w:r>
                            <w:r>
                              <w:t xml:space="preserve"> Automation Pipeline with IQP Plus</w:t>
                            </w:r>
                            <w:bookmarkEnd w:id="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D72C74" id="_x0000_s1047" type="#_x0000_t202" style="position:absolute;left:0;text-align:left;margin-left:1.05pt;margin-top:111.85pt;width:462.1pt;height:.05pt;z-index:25165827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" stroked="f">
                <v:textbox style="mso-fit-shape-to-text:t" inset="0,0,0,0">
                  <w:txbxContent>
                    <w:p w14:paraId="578D1BE3" w14:textId="3F92A3C1" w:rsidR="005E3037" w:rsidRPr="00685CBE" w:rsidRDefault="005E3037" w:rsidP="005E3037">
                      <w:pPr>
                        <w:pStyle w:val="Caption"/>
                        <w:jc w:val="center"/>
                        <w:rPr>
                          <w:rFonts w:cs="Arial"/>
                          <w:noProof/>
                          <w:color w:val="000000" w:themeColor="text1"/>
                          <w:sz w:val="22"/>
                          <w:szCs w:val="21"/>
                        </w:rPr>
                      </w:pPr>
                      <w:bookmarkStart w:id="90" w:name="_Toc213068742"/>
                      <w:r>
                        <w:t xml:space="preserve">Figure 4.4.2. </w:t>
                      </w:r>
                      <w:r>
                        <w:fldChar w:fldCharType="begin"/>
                      </w:r>
                      <w:r>
                        <w:instrText xml:space="preserve"> SEQ Figure_4.4.2. \* ARABIC </w:instrText>
                      </w:r>
                      <w:r>
                        <w:fldChar w:fldCharType="separate"/>
                      </w:r>
                      <w:r>
                        <w:rPr>
                          <w:noProof/>
                        </w:rPr>
                        <w:t>5</w:t>
                      </w:r>
                      <w:r>
                        <w:fldChar w:fldCharType="end"/>
                      </w:r>
                      <w:r>
                        <w:t xml:space="preserve"> Automation Pipeline with IQP Plus</w:t>
                      </w:r>
                      <w:bookmarkEnd w:id="90"/>
                    </w:p>
                  </w:txbxContent>
                </v:textbox>
                <w10:wrap type="topAndBottom"/>
              </v:shape>
            </w:pict>
          </mc:Fallback>
        </mc:AlternateContent>
      </w:r>
      <w:r w:rsidR="004827F7">
        <w:rPr>
          <w:noProof/>
        </w:rPr>
        <w:drawing>
          <wp:anchor distT="0" distB="0" distL="114300" distR="114300" simplePos="0" relativeHeight="251658244" behindDoc="0" locked="0" layoutInCell="1" allowOverlap="1" wp14:anchorId="5E6DF8B6" wp14:editId="130DA000">
            <wp:simplePos x="0" y="0"/>
            <wp:positionH relativeFrom="column">
              <wp:posOffset>13335</wp:posOffset>
            </wp:positionH>
            <wp:positionV relativeFrom="paragraph">
              <wp:posOffset>285750</wp:posOffset>
            </wp:positionV>
            <wp:extent cx="5868670" cy="1077595"/>
            <wp:effectExtent l="0" t="0" r="0" b="8255"/>
            <wp:wrapTopAndBottom/>
            <wp:docPr id="1995921770" name="Picture 17" descr="A blue rectangle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921770" name="Picture 17" descr="A blue rectangle with a black background&#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68670" cy="1077595"/>
                    </a:xfrm>
                    <a:prstGeom prst="rect">
                      <a:avLst/>
                    </a:prstGeom>
                  </pic:spPr>
                </pic:pic>
              </a:graphicData>
            </a:graphic>
            <wp14:sizeRelH relativeFrom="page">
              <wp14:pctWidth>0</wp14:pctWidth>
            </wp14:sizeRelH>
            <wp14:sizeRelV relativeFrom="page">
              <wp14:pctHeight>0</wp14:pctHeight>
            </wp14:sizeRelV>
          </wp:anchor>
        </w:drawing>
      </w:r>
      <w:r w:rsidR="00605F42" w:rsidRPr="00F04A91">
        <w:t>Real-time dashboard updates.</w:t>
      </w:r>
    </w:p>
    <w:p w14:paraId="28D0A045" w14:textId="315121DC" w:rsidR="00605F42" w:rsidRPr="000C7BF6" w:rsidRDefault="00605F42" w:rsidP="00955848">
      <w:pPr>
        <w:pStyle w:val="CS-IBMResponseText"/>
        <w:rPr>
          <w:sz w:val="28"/>
          <w:szCs w:val="28"/>
        </w:rPr>
      </w:pPr>
      <w:r w:rsidRPr="000C7BF6">
        <w:rPr>
          <w:color w:val="0070C0"/>
          <w:sz w:val="28"/>
          <w:szCs w:val="28"/>
        </w:rPr>
        <w:t>Knowledge Transfer, Capability Uplift, and QA Maturity Growth</w:t>
      </w:r>
      <w:r w:rsidRPr="000C7BF6">
        <w:rPr>
          <w:i/>
          <w:iCs/>
          <w:sz w:val="28"/>
          <w:szCs w:val="28"/>
        </w:rPr>
        <w:t xml:space="preserve"> </w:t>
      </w:r>
    </w:p>
    <w:p w14:paraId="76047F5A" w14:textId="5F4276ED" w:rsidR="00C9260A" w:rsidRPr="00F04A91" w:rsidRDefault="00EA24B2" w:rsidP="00955848">
      <w:pPr>
        <w:pStyle w:val="CS-IBMResponseText"/>
      </w:pPr>
      <w:r>
        <w:t>I</w:t>
      </w:r>
      <w:r w:rsidR="00C9260A">
        <w:t xml:space="preserve">BM’s approach ensures that continuous test effectiveness is sustained not only through automation and analytics but also through </w:t>
      </w:r>
      <w:r w:rsidR="00C9260A">
        <w:rPr>
          <w:rStyle w:val="Strong"/>
        </w:rPr>
        <w:t>people and shared learning</w:t>
      </w:r>
      <w:r w:rsidR="00C9260A">
        <w:t xml:space="preserve"> across the Consortium. Our goal is to enable CalSAWS, its counties, and vendor partners to continuously enhance their own QA capabilities — </w:t>
      </w:r>
      <w:r w:rsidR="00C9260A">
        <w:rPr>
          <w:rStyle w:val="Emphasis"/>
        </w:rPr>
        <w:t>without expanding internal resource commitments.</w:t>
      </w:r>
    </w:p>
    <w:p w14:paraId="552B2BA4" w14:textId="108CB956" w:rsidR="00605F42" w:rsidRPr="00DD6C71" w:rsidRDefault="00605F42" w:rsidP="00DD6C71">
      <w:pPr>
        <w:pStyle w:val="CS-IBMResponseText"/>
        <w:spacing w:before="0" w:after="0"/>
        <w:rPr>
          <w:b/>
          <w:bCs/>
        </w:rPr>
      </w:pPr>
      <w:r w:rsidRPr="00B253E8">
        <w:rPr>
          <w:b/>
          <w:bCs/>
        </w:rPr>
        <w:t>QA Learning Labs</w:t>
      </w:r>
      <w:r w:rsidRPr="00DD6C71">
        <w:rPr>
          <w:b/>
          <w:bCs/>
        </w:rPr>
        <w:t xml:space="preserve"> </w:t>
      </w:r>
    </w:p>
    <w:p w14:paraId="72EFDC70" w14:textId="4C3A2024" w:rsidR="0037694B" w:rsidRPr="00DD6C71" w:rsidRDefault="0037694B" w:rsidP="00DD6C71">
      <w:pPr>
        <w:spacing w:before="0" w:after="0"/>
        <w:rPr>
          <w:rFonts w:cs="Arial"/>
          <w:color w:val="0D0D0D" w:themeColor="text1" w:themeTint="F2"/>
          <w:szCs w:val="21"/>
        </w:rPr>
      </w:pPr>
      <w:r w:rsidRPr="00DD6C71">
        <w:rPr>
          <w:rFonts w:cs="Arial"/>
          <w:color w:val="0D0D0D" w:themeColor="text1" w:themeTint="F2"/>
          <w:szCs w:val="21"/>
        </w:rPr>
        <w:t xml:space="preserve">IBM will conduct Quarterly CalSAWS QA Learning Labs — structured, collaborative workshops designed to build collective QA capability and embed continuous improvement across all </w:t>
      </w:r>
      <w:r w:rsidR="008C3873" w:rsidRPr="00DD6C71">
        <w:rPr>
          <w:rFonts w:cs="Arial"/>
          <w:color w:val="0D0D0D" w:themeColor="text1" w:themeTint="F2"/>
          <w:szCs w:val="21"/>
        </w:rPr>
        <w:t>vendors</w:t>
      </w:r>
      <w:r w:rsidRPr="00DD6C71">
        <w:rPr>
          <w:rFonts w:cs="Arial"/>
          <w:color w:val="0D0D0D" w:themeColor="text1" w:themeTint="F2"/>
          <w:szCs w:val="21"/>
        </w:rPr>
        <w:t xml:space="preserve"> and county teams. These sessions will include representatives from IBM, the Consortium, </w:t>
      </w:r>
      <w:r w:rsidR="00D51F5E">
        <w:rPr>
          <w:rFonts w:cs="Arial"/>
          <w:color w:val="0D0D0D" w:themeColor="text1" w:themeTint="F2"/>
          <w:szCs w:val="21"/>
        </w:rPr>
        <w:t xml:space="preserve">incumbent CalSAWS </w:t>
      </w:r>
      <w:r w:rsidR="008C3873">
        <w:rPr>
          <w:rFonts w:cs="Arial"/>
          <w:color w:val="0D0D0D" w:themeColor="text1" w:themeTint="F2"/>
          <w:szCs w:val="21"/>
        </w:rPr>
        <w:t xml:space="preserve">vendors, </w:t>
      </w:r>
      <w:r w:rsidR="008C3873" w:rsidRPr="00DD6C71">
        <w:rPr>
          <w:rFonts w:cs="Arial"/>
          <w:color w:val="0D0D0D" w:themeColor="text1" w:themeTint="F2"/>
          <w:szCs w:val="21"/>
        </w:rPr>
        <w:t>and</w:t>
      </w:r>
      <w:r w:rsidRPr="00DD6C71">
        <w:rPr>
          <w:rFonts w:cs="Arial"/>
          <w:color w:val="0D0D0D" w:themeColor="text1" w:themeTint="F2"/>
          <w:szCs w:val="21"/>
        </w:rPr>
        <w:t xml:space="preserve"> county QA participants.</w:t>
      </w:r>
    </w:p>
    <w:p w14:paraId="76E8AC7F" w14:textId="77777777" w:rsidR="0037694B" w:rsidRPr="00DD6C71" w:rsidRDefault="0037694B" w:rsidP="00DD6C71">
      <w:pPr>
        <w:spacing w:before="0" w:after="0"/>
        <w:rPr>
          <w:rFonts w:cs="Arial"/>
          <w:color w:val="0D0D0D" w:themeColor="text1" w:themeTint="F2"/>
          <w:szCs w:val="21"/>
        </w:rPr>
      </w:pPr>
      <w:r w:rsidRPr="00DD6C71">
        <w:rPr>
          <w:rFonts w:cs="Arial"/>
          <w:color w:val="0D0D0D" w:themeColor="text1" w:themeTint="F2"/>
          <w:szCs w:val="21"/>
        </w:rPr>
        <w:t>Each lab focuses on specific, high-impact topics relevant to CalSAWS’ modernization and continuous delivery goals:</w:t>
      </w:r>
    </w:p>
    <w:p w14:paraId="572E6F0F" w14:textId="249EA656" w:rsidR="0037694B" w:rsidRPr="00DD6C71" w:rsidRDefault="0037694B" w:rsidP="00CF7600">
      <w:pPr>
        <w:numPr>
          <w:ilvl w:val="0"/>
          <w:numId w:val="64"/>
        </w:numPr>
        <w:spacing w:before="0" w:after="0"/>
        <w:rPr>
          <w:rFonts w:cs="Arial"/>
          <w:color w:val="0D0D0D" w:themeColor="text1" w:themeTint="F2"/>
          <w:szCs w:val="21"/>
        </w:rPr>
      </w:pPr>
      <w:r w:rsidRPr="00DD6C71">
        <w:rPr>
          <w:rFonts w:cs="Arial"/>
          <w:color w:val="0D0D0D" w:themeColor="text1" w:themeTint="F2"/>
          <w:szCs w:val="21"/>
        </w:rPr>
        <w:t>Accessibility Regression Prevention Techniques: Hands-on guidance to ensure that every release meets Section 508 compliance and accessibility standards. Participants learn how to identify and prevent accessibility regressions early using IBM’s integrated tools (AXE, WAVE) reducing post-release rework.</w:t>
      </w:r>
    </w:p>
    <w:p w14:paraId="2B677415" w14:textId="77777777" w:rsidR="0037694B" w:rsidRPr="00DD6C71" w:rsidRDefault="0037694B" w:rsidP="00CF7600">
      <w:pPr>
        <w:numPr>
          <w:ilvl w:val="0"/>
          <w:numId w:val="64"/>
        </w:numPr>
        <w:spacing w:before="0" w:after="0"/>
        <w:rPr>
          <w:rFonts w:cs="Arial"/>
          <w:color w:val="0D0D0D" w:themeColor="text1" w:themeTint="F2"/>
          <w:szCs w:val="21"/>
        </w:rPr>
      </w:pPr>
      <w:r w:rsidRPr="00DD6C71">
        <w:rPr>
          <w:rFonts w:cs="Arial"/>
          <w:color w:val="0D0D0D" w:themeColor="text1" w:themeTint="F2"/>
          <w:szCs w:val="21"/>
        </w:rPr>
        <w:t>Optimizing Testing for AWS-Native Modules: Demonstrations of cloud-ready test strategies tailored to CalSAWS’ AWS-based infrastructure, focusing on scalability, performance validation, and efficient use of AWS-native test environments.</w:t>
      </w:r>
    </w:p>
    <w:p w14:paraId="3ADD171B" w14:textId="77777777" w:rsidR="0037694B" w:rsidRPr="00DD6C71" w:rsidRDefault="0037694B" w:rsidP="00CF7600">
      <w:pPr>
        <w:numPr>
          <w:ilvl w:val="0"/>
          <w:numId w:val="64"/>
        </w:numPr>
        <w:spacing w:before="0" w:after="0"/>
        <w:rPr>
          <w:rFonts w:cs="Arial"/>
          <w:color w:val="0D0D0D" w:themeColor="text1" w:themeTint="F2"/>
          <w:szCs w:val="21"/>
        </w:rPr>
      </w:pPr>
      <w:r w:rsidRPr="00DD6C71">
        <w:rPr>
          <w:rFonts w:cs="Arial"/>
          <w:color w:val="0D0D0D" w:themeColor="text1" w:themeTint="F2"/>
          <w:szCs w:val="21"/>
        </w:rPr>
        <w:t>AI-Driven Defect Prediction and Analytics: Training on how IBM’s predictive defect models identify high-risk areas before testing begins — helping teams prioritize smarter and avoid redundant efforts.</w:t>
      </w:r>
    </w:p>
    <w:p w14:paraId="4ECC399B" w14:textId="77777777" w:rsidR="0037694B" w:rsidRPr="00DD6C71" w:rsidRDefault="0037694B" w:rsidP="00CF7600">
      <w:pPr>
        <w:numPr>
          <w:ilvl w:val="0"/>
          <w:numId w:val="64"/>
        </w:numPr>
        <w:spacing w:before="0" w:after="0"/>
        <w:rPr>
          <w:rFonts w:cs="Arial"/>
          <w:color w:val="0D0D0D" w:themeColor="text1" w:themeTint="F2"/>
          <w:szCs w:val="21"/>
        </w:rPr>
      </w:pPr>
      <w:r w:rsidRPr="00DD6C71">
        <w:rPr>
          <w:rFonts w:cs="Arial"/>
          <w:color w:val="0D0D0D" w:themeColor="text1" w:themeTint="F2"/>
          <w:szCs w:val="21"/>
        </w:rPr>
        <w:t>Emerging Automation Frameworks and Practices: Introduction to new automation accelerators within IBM’s IQP Plus platform, including self-healing scripts and model-based testing. These sessions promote adoption of advanced capabilities while minimizing manual intervention.</w:t>
      </w:r>
    </w:p>
    <w:p w14:paraId="0BCABE23" w14:textId="77777777" w:rsidR="005B0F29" w:rsidRDefault="0037694B" w:rsidP="005B0F29">
      <w:pPr>
        <w:spacing w:before="0" w:after="0"/>
        <w:rPr>
          <w:rFonts w:cs="Arial"/>
          <w:color w:val="0D0D0D" w:themeColor="text1" w:themeTint="F2"/>
          <w:szCs w:val="21"/>
        </w:rPr>
      </w:pPr>
      <w:r w:rsidRPr="00DD6C71">
        <w:rPr>
          <w:rFonts w:cs="Arial"/>
          <w:b/>
          <w:bCs/>
          <w:color w:val="0D0D0D" w:themeColor="text1" w:themeTint="F2"/>
          <w:szCs w:val="21"/>
        </w:rPr>
        <w:t>Outcome:</w:t>
      </w:r>
      <w:r w:rsidRPr="00DD6C71">
        <w:rPr>
          <w:rFonts w:cs="Arial"/>
          <w:color w:val="0D0D0D" w:themeColor="text1" w:themeTint="F2"/>
          <w:szCs w:val="21"/>
        </w:rPr>
        <w:t xml:space="preserve"> The QA Learning Labs strengthen QA maturity across all vendors, reduce rework, and promote consistent testing excellence — enabling the Consortium to benefit from collective learning and shared innovation without adding staff or workload.</w:t>
      </w:r>
    </w:p>
    <w:p w14:paraId="4C521375" w14:textId="77777777" w:rsidR="00E264EB" w:rsidRDefault="00E264EB" w:rsidP="005B0F29">
      <w:pPr>
        <w:pStyle w:val="CS-IBMResponseText"/>
        <w:spacing w:before="0" w:after="0"/>
        <w:rPr>
          <w:b/>
          <w:bCs/>
        </w:rPr>
      </w:pPr>
    </w:p>
    <w:p w14:paraId="774835B1" w14:textId="77777777" w:rsidR="00E264EB" w:rsidRDefault="00E264EB" w:rsidP="005B0F29">
      <w:pPr>
        <w:pStyle w:val="CS-IBMResponseText"/>
        <w:spacing w:before="0" w:after="0"/>
        <w:rPr>
          <w:b/>
          <w:bCs/>
        </w:rPr>
      </w:pPr>
    </w:p>
    <w:p w14:paraId="42776F90" w14:textId="01AEC581" w:rsidR="00605F42" w:rsidRPr="00DD6C71" w:rsidRDefault="00605F42" w:rsidP="005B0F29">
      <w:pPr>
        <w:pStyle w:val="CS-IBMResponseText"/>
        <w:spacing w:before="0" w:after="0"/>
        <w:rPr>
          <w:b/>
          <w:bCs/>
        </w:rPr>
      </w:pPr>
      <w:r w:rsidRPr="00DD6C71">
        <w:rPr>
          <w:b/>
          <w:bCs/>
        </w:rPr>
        <w:lastRenderedPageBreak/>
        <w:t xml:space="preserve">QA Maturity Benchmarking </w:t>
      </w:r>
    </w:p>
    <w:p w14:paraId="558EF457" w14:textId="4E03F91D" w:rsidR="001E39A8" w:rsidRPr="00DD6C71" w:rsidRDefault="001E39A8" w:rsidP="005B0F29">
      <w:pPr>
        <w:spacing w:before="0" w:after="0"/>
        <w:rPr>
          <w:rFonts w:cs="Arial"/>
          <w:color w:val="0D0D0D" w:themeColor="text1" w:themeTint="F2"/>
          <w:szCs w:val="21"/>
        </w:rPr>
      </w:pPr>
      <w:r w:rsidRPr="00DD6C71">
        <w:rPr>
          <w:rFonts w:cs="Arial"/>
          <w:color w:val="0D0D0D" w:themeColor="text1" w:themeTint="F2"/>
          <w:szCs w:val="21"/>
        </w:rPr>
        <w:t>To track progress and ensure measurable improvement, IBM applies its QA Capability Maturity Model (QACMM) a structured assessment framework that measures QA maturity across key dimensions of people, process, tools, and data.</w:t>
      </w:r>
    </w:p>
    <w:p w14:paraId="684090F5" w14:textId="77777777" w:rsidR="001E39A8" w:rsidRPr="00DD6C71" w:rsidRDefault="001E39A8" w:rsidP="005B0F29">
      <w:pPr>
        <w:spacing w:before="0" w:after="0"/>
        <w:rPr>
          <w:rFonts w:cs="Arial"/>
          <w:color w:val="0D0D0D" w:themeColor="text1" w:themeTint="F2"/>
          <w:szCs w:val="21"/>
        </w:rPr>
      </w:pPr>
      <w:r w:rsidRPr="00DD6C71">
        <w:rPr>
          <w:rFonts w:cs="Arial"/>
          <w:color w:val="0D0D0D" w:themeColor="text1" w:themeTint="F2"/>
          <w:szCs w:val="21"/>
        </w:rPr>
        <w:t>This framework evaluates QA effectiveness and identifies improvement opportunities based on quantifiable indicators, ensuring that every gain is visible and actionable:</w:t>
      </w:r>
    </w:p>
    <w:p w14:paraId="100601AA" w14:textId="77777777" w:rsidR="001E39A8" w:rsidRPr="00DD6C71" w:rsidRDefault="001E39A8" w:rsidP="00CF7600">
      <w:pPr>
        <w:numPr>
          <w:ilvl w:val="0"/>
          <w:numId w:val="65"/>
        </w:numPr>
        <w:spacing w:before="0" w:after="0"/>
        <w:rPr>
          <w:rFonts w:cs="Arial"/>
          <w:color w:val="0D0D0D" w:themeColor="text1" w:themeTint="F2"/>
          <w:szCs w:val="21"/>
        </w:rPr>
      </w:pPr>
      <w:r w:rsidRPr="00DD6C71">
        <w:rPr>
          <w:rFonts w:cs="Arial"/>
          <w:color w:val="0D0D0D" w:themeColor="text1" w:themeTint="F2"/>
          <w:szCs w:val="21"/>
        </w:rPr>
        <w:t>Process Adherence: Evaluates how closely QA execution aligns with defined processes, standards, and governance expectations.</w:t>
      </w:r>
    </w:p>
    <w:p w14:paraId="517A977F" w14:textId="0978A102" w:rsidR="001E39A8" w:rsidRPr="00DD6C71" w:rsidRDefault="001E39A8" w:rsidP="00CF7600">
      <w:pPr>
        <w:numPr>
          <w:ilvl w:val="0"/>
          <w:numId w:val="65"/>
        </w:numPr>
        <w:spacing w:before="0" w:after="0"/>
        <w:rPr>
          <w:rFonts w:cs="Arial"/>
          <w:color w:val="0D0D0D" w:themeColor="text1" w:themeTint="F2"/>
          <w:szCs w:val="21"/>
        </w:rPr>
      </w:pPr>
      <w:r w:rsidRPr="00DD6C71">
        <w:rPr>
          <w:rFonts w:cs="Arial"/>
          <w:color w:val="0D0D0D" w:themeColor="text1" w:themeTint="F2"/>
          <w:szCs w:val="21"/>
        </w:rPr>
        <w:t>Automation Depth: Measures the proportion of automated test coverage and the use of self-healing, reusable assets key to scaling QA without increasing manpower.</w:t>
      </w:r>
    </w:p>
    <w:p w14:paraId="6712BA93" w14:textId="77777777" w:rsidR="001E39A8" w:rsidRPr="00DD6C71" w:rsidRDefault="001E39A8" w:rsidP="00CF7600">
      <w:pPr>
        <w:numPr>
          <w:ilvl w:val="0"/>
          <w:numId w:val="65"/>
        </w:numPr>
        <w:spacing w:before="0" w:after="0"/>
        <w:rPr>
          <w:rFonts w:cs="Arial"/>
          <w:color w:val="0D0D0D" w:themeColor="text1" w:themeTint="F2"/>
          <w:szCs w:val="21"/>
        </w:rPr>
      </w:pPr>
      <w:r w:rsidRPr="00DD6C71">
        <w:rPr>
          <w:rFonts w:cs="Arial"/>
          <w:color w:val="0D0D0D" w:themeColor="text1" w:themeTint="F2"/>
          <w:szCs w:val="21"/>
        </w:rPr>
        <w:t>Test Data Sophistication: Assesses the ability to maintain compliant, reusable, and policy-aligned data sets that enhance test efficiency.</w:t>
      </w:r>
    </w:p>
    <w:p w14:paraId="548C98A1" w14:textId="77777777" w:rsidR="001E39A8" w:rsidRPr="00DD6C71" w:rsidRDefault="001E39A8" w:rsidP="00CF7600">
      <w:pPr>
        <w:numPr>
          <w:ilvl w:val="0"/>
          <w:numId w:val="65"/>
        </w:numPr>
        <w:spacing w:before="0" w:after="0"/>
        <w:rPr>
          <w:rFonts w:cs="Arial"/>
          <w:color w:val="0D0D0D" w:themeColor="text1" w:themeTint="F2"/>
          <w:szCs w:val="21"/>
        </w:rPr>
      </w:pPr>
      <w:r w:rsidRPr="00DD6C71">
        <w:rPr>
          <w:rFonts w:cs="Arial"/>
          <w:color w:val="0D0D0D" w:themeColor="text1" w:themeTint="F2"/>
          <w:szCs w:val="21"/>
        </w:rPr>
        <w:t>Analytics Maturity: Tracks the adoption of AI and data-driven decision-making within QA dashboards and reports, ensuring CalSAWS gains continuous visibility into performance trends.</w:t>
      </w:r>
    </w:p>
    <w:p w14:paraId="66C490AA" w14:textId="6CC3C924" w:rsidR="008273E9" w:rsidRDefault="001E39A8" w:rsidP="005B0F29">
      <w:pPr>
        <w:spacing w:before="0" w:after="0"/>
        <w:rPr>
          <w:rFonts w:cs="Arial"/>
          <w:color w:val="0D0D0D" w:themeColor="text1" w:themeTint="F2"/>
          <w:szCs w:val="21"/>
        </w:rPr>
      </w:pPr>
      <w:r w:rsidRPr="00DD6C71">
        <w:rPr>
          <w:rFonts w:cs="Arial"/>
          <w:color w:val="0D0D0D" w:themeColor="text1" w:themeTint="F2"/>
          <w:szCs w:val="21"/>
        </w:rPr>
        <w:t>Each quarter, IBM presents a QA Maturity Benchmark Report to the Consortium, outlining current maturity levels, recent progress, and targeted next steps. Over time, this allows CalSAWS to move from Level 2 (“Defined”) to Level 4 (“Managed”) and eventually Level 5 (“Optimized</w:t>
      </w:r>
      <w:r w:rsidR="00240708" w:rsidRPr="00DD6C71">
        <w:rPr>
          <w:rFonts w:cs="Arial"/>
          <w:color w:val="0D0D0D" w:themeColor="text1" w:themeTint="F2"/>
          <w:szCs w:val="21"/>
        </w:rPr>
        <w:t>”) reaching</w:t>
      </w:r>
      <w:r w:rsidRPr="00DD6C71">
        <w:rPr>
          <w:rFonts w:cs="Arial"/>
          <w:color w:val="0D0D0D" w:themeColor="text1" w:themeTint="F2"/>
          <w:szCs w:val="21"/>
        </w:rPr>
        <w:t xml:space="preserve"> a state of self-sustaining quality improvement.</w:t>
      </w:r>
    </w:p>
    <w:p w14:paraId="62856E07" w14:textId="77777777" w:rsidR="00DB4DB5" w:rsidRPr="00DB4DB5" w:rsidRDefault="00DB4DB5" w:rsidP="005B0F29">
      <w:pPr>
        <w:pStyle w:val="Caption"/>
        <w:spacing w:after="0"/>
      </w:pPr>
    </w:p>
    <w:p w14:paraId="7C5A0863" w14:textId="752C3207" w:rsidR="00605F42" w:rsidRPr="00DD6C71" w:rsidRDefault="005E3037" w:rsidP="00DD6C71">
      <w:pPr>
        <w:spacing w:before="0" w:after="0"/>
        <w:rPr>
          <w:rFonts w:cs="Arial"/>
          <w:color w:val="0D0D0D" w:themeColor="text1" w:themeTint="F2"/>
          <w:szCs w:val="21"/>
        </w:rPr>
      </w:pPr>
      <w:r>
        <w:rPr>
          <w:noProof/>
        </w:rPr>
        <mc:AlternateContent>
          <mc:Choice Requires="wps">
            <w:drawing>
              <wp:anchor distT="0" distB="0" distL="114300" distR="114300" simplePos="0" relativeHeight="251658280" behindDoc="0" locked="0" layoutInCell="1" allowOverlap="1" wp14:anchorId="3B881F5E" wp14:editId="017C3464">
                <wp:simplePos x="0" y="0"/>
                <wp:positionH relativeFrom="column">
                  <wp:posOffset>1341120</wp:posOffset>
                </wp:positionH>
                <wp:positionV relativeFrom="paragraph">
                  <wp:posOffset>3031490</wp:posOffset>
                </wp:positionV>
                <wp:extent cx="3058160" cy="635"/>
                <wp:effectExtent l="0" t="0" r="2540" b="12065"/>
                <wp:wrapTopAndBottom/>
                <wp:docPr id="981900088" name="Text Box 1"/>
                <wp:cNvGraphicFramePr/>
                <a:graphic xmlns:a="http://schemas.openxmlformats.org/drawingml/2006/main">
                  <a:graphicData uri="http://schemas.microsoft.com/office/word/2010/wordprocessingShape">
                    <wps:wsp>
                      <wps:cNvSpPr txBox="1"/>
                      <wps:spPr>
                        <a:xfrm>
                          <a:off x="0" y="0"/>
                          <a:ext cx="3058160" cy="635"/>
                        </a:xfrm>
                        <a:prstGeom prst="rect">
                          <a:avLst/>
                        </a:prstGeom>
                        <a:solidFill>
                          <a:prstClr val="white"/>
                        </a:solidFill>
                        <a:ln>
                          <a:noFill/>
                        </a:ln>
                      </wps:spPr>
                      <wps:txbx>
                        <w:txbxContent>
                          <w:p w14:paraId="52F0A664" w14:textId="32C3F133" w:rsidR="005E3037" w:rsidRPr="0040715C" w:rsidRDefault="005E3037" w:rsidP="005E3037">
                            <w:pPr>
                              <w:pStyle w:val="Caption"/>
                              <w:jc w:val="center"/>
                              <w:rPr>
                                <w:noProof/>
                                <w:color w:val="000000" w:themeColor="text1"/>
                                <w:sz w:val="22"/>
                                <w:szCs w:val="22"/>
                              </w:rPr>
                            </w:pPr>
                            <w:bookmarkStart w:id="91" w:name="_Toc213068743"/>
                            <w:r>
                              <w:t xml:space="preserve">Figure 4.4.2. </w:t>
                            </w:r>
                            <w:r>
                              <w:fldChar w:fldCharType="begin"/>
                            </w:r>
                            <w:r>
                              <w:instrText xml:space="preserve"> SEQ Figure_4.4.2. \* ARABIC </w:instrText>
                            </w:r>
                            <w:r>
                              <w:fldChar w:fldCharType="separate"/>
                            </w:r>
                            <w:r>
                              <w:rPr>
                                <w:noProof/>
                              </w:rPr>
                              <w:t>6</w:t>
                            </w:r>
                            <w:r>
                              <w:fldChar w:fldCharType="end"/>
                            </w:r>
                            <w:r>
                              <w:t xml:space="preserve"> QA Maturity Progression Chart</w:t>
                            </w:r>
                            <w:bookmarkEnd w:id="9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B881F5E" id="_x0000_s1048" type="#_x0000_t202" style="position:absolute;margin-left:105.6pt;margin-top:238.7pt;width:240.8pt;height:.05pt;z-index:251658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" stroked="f">
                <v:textbox style="mso-fit-shape-to-text:t" inset="0,0,0,0">
                  <w:txbxContent>
                    <w:p w14:paraId="52F0A664" w14:textId="32C3F133" w:rsidR="005E3037" w:rsidRPr="0040715C" w:rsidRDefault="005E3037" w:rsidP="005E3037">
                      <w:pPr>
                        <w:pStyle w:val="Caption"/>
                        <w:jc w:val="center"/>
                        <w:rPr>
                          <w:noProof/>
                          <w:color w:val="000000" w:themeColor="text1"/>
                          <w:sz w:val="22"/>
                          <w:szCs w:val="22"/>
                        </w:rPr>
                      </w:pPr>
                      <w:bookmarkStart w:id="92" w:name="_Toc213068743"/>
                      <w:r>
                        <w:t xml:space="preserve">Figure 4.4.2. </w:t>
                      </w:r>
                      <w:r>
                        <w:fldChar w:fldCharType="begin"/>
                      </w:r>
                      <w:r>
                        <w:instrText xml:space="preserve"> SEQ Figure_4.4.2. \* ARABIC </w:instrText>
                      </w:r>
                      <w:r>
                        <w:fldChar w:fldCharType="separate"/>
                      </w:r>
                      <w:r>
                        <w:rPr>
                          <w:noProof/>
                        </w:rPr>
                        <w:t>6</w:t>
                      </w:r>
                      <w:r>
                        <w:fldChar w:fldCharType="end"/>
                      </w:r>
                      <w:r>
                        <w:t xml:space="preserve"> QA Maturity Progression Chart</w:t>
                      </w:r>
                      <w:bookmarkEnd w:id="92"/>
                    </w:p>
                  </w:txbxContent>
                </v:textbox>
                <w10:wrap type="topAndBottom"/>
              </v:shape>
            </w:pict>
          </mc:Fallback>
        </mc:AlternateContent>
      </w:r>
      <w:r w:rsidR="00DD6C71">
        <w:rPr>
          <w:i/>
          <w:iCs/>
          <w:noProof/>
        </w:rPr>
        <w:drawing>
          <wp:anchor distT="0" distB="0" distL="114300" distR="114300" simplePos="0" relativeHeight="251658270" behindDoc="0" locked="0" layoutInCell="1" allowOverlap="1" wp14:anchorId="6D718B7F" wp14:editId="21811072">
            <wp:simplePos x="0" y="0"/>
            <wp:positionH relativeFrom="column">
              <wp:posOffset>1341120</wp:posOffset>
            </wp:positionH>
            <wp:positionV relativeFrom="paragraph">
              <wp:posOffset>619760</wp:posOffset>
            </wp:positionV>
            <wp:extent cx="3058160" cy="2354580"/>
            <wp:effectExtent l="0" t="0" r="0" b="0"/>
            <wp:wrapTopAndBottom/>
            <wp:docPr id="981347940" name="Picture 18" descr="A screen shot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347940" name="Picture 18" descr="A screen shot of a chart&#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58160" cy="2354580"/>
                    </a:xfrm>
                    <a:prstGeom prst="rect">
                      <a:avLst/>
                    </a:prstGeom>
                  </pic:spPr>
                </pic:pic>
              </a:graphicData>
            </a:graphic>
            <wp14:sizeRelH relativeFrom="page">
              <wp14:pctWidth>0</wp14:pctWidth>
            </wp14:sizeRelH>
            <wp14:sizeRelV relativeFrom="page">
              <wp14:pctHeight>0</wp14:pctHeight>
            </wp14:sizeRelV>
          </wp:anchor>
        </w:drawing>
      </w:r>
      <w:r w:rsidR="00F96E0E" w:rsidRPr="00DD6C71">
        <w:rPr>
          <w:rFonts w:cs="Arial"/>
          <w:b/>
          <w:bCs/>
          <w:color w:val="0D0D0D" w:themeColor="text1" w:themeTint="F2"/>
          <w:szCs w:val="21"/>
        </w:rPr>
        <w:t>Outcome:</w:t>
      </w:r>
      <w:r w:rsidR="00F96E0E" w:rsidRPr="00DD6C71">
        <w:rPr>
          <w:rFonts w:cs="Arial"/>
          <w:color w:val="0D0D0D" w:themeColor="text1" w:themeTint="F2"/>
          <w:szCs w:val="21"/>
        </w:rPr>
        <w:t xml:space="preserve"> The benchmarking process enables CalSAWS leadership to track measurable QA evolution, ensure consistency across vendors, and sustain improvement momentum without additional oversight or administrative burden.</w:t>
      </w:r>
    </w:p>
    <w:p w14:paraId="25A98AAE" w14:textId="15DCE0BE" w:rsidR="00605F42" w:rsidRPr="00F04A91" w:rsidRDefault="00605F42" w:rsidP="00955848">
      <w:pPr>
        <w:pStyle w:val="CS-IBMResponseText"/>
      </w:pPr>
      <w:r w:rsidRPr="007254C2">
        <w:rPr>
          <w:b/>
          <w:bCs/>
        </w:rPr>
        <w:t>Knowledge Repository &amp; Asset Reuse</w:t>
      </w:r>
      <w:r w:rsidR="000C2EAC" w:rsidRPr="000C2EAC">
        <w:rPr>
          <w:i/>
          <w:iCs/>
          <w:highlight w:val="yellow"/>
        </w:rPr>
        <w:t xml:space="preserve"> </w:t>
      </w:r>
    </w:p>
    <w:p w14:paraId="743A0D79" w14:textId="69B31779" w:rsidR="00605F42" w:rsidRPr="00F04A91" w:rsidRDefault="00605F42" w:rsidP="00955848">
      <w:pPr>
        <w:pStyle w:val="CS-IBMResponseText"/>
      </w:pPr>
      <w:r w:rsidRPr="00F04A91">
        <w:t>All artifacts</w:t>
      </w:r>
      <w:r w:rsidR="008273E9">
        <w:t xml:space="preserve"> </w:t>
      </w:r>
      <w:r w:rsidRPr="00F04A91">
        <w:t>optimized test cases, defect taxonomies, dashboards—are stored centrally.</w:t>
      </w:r>
    </w:p>
    <w:p w14:paraId="7223DA1C" w14:textId="77777777" w:rsidR="00605F42" w:rsidRPr="00F04A91" w:rsidRDefault="00605F42" w:rsidP="00A05C0D">
      <w:pPr>
        <w:pStyle w:val="CS-IBMBullet1"/>
      </w:pPr>
      <w:r w:rsidRPr="00F04A91">
        <w:t>Prevents lost knowledge.</w:t>
      </w:r>
    </w:p>
    <w:p w14:paraId="64734773" w14:textId="77777777" w:rsidR="00605F42" w:rsidRPr="00F04A91" w:rsidRDefault="00605F42" w:rsidP="00A05C0D">
      <w:pPr>
        <w:pStyle w:val="CS-IBMBullet1"/>
      </w:pPr>
      <w:r w:rsidRPr="00F04A91">
        <w:t>Reduces ramp-up time for new team members.</w:t>
      </w:r>
    </w:p>
    <w:p w14:paraId="2F931DD4" w14:textId="45C8A4FC" w:rsidR="00BD38F1" w:rsidRPr="001C6EA0" w:rsidRDefault="00605F42" w:rsidP="001C6EA0">
      <w:pPr>
        <w:pStyle w:val="CS-IBMBullet1"/>
        <w:rPr>
          <w:b/>
          <w:bCs/>
          <w:color w:val="0070C0"/>
        </w:rPr>
      </w:pPr>
      <w:r w:rsidRPr="00F04A91">
        <w:t>Ensures continuous reuse and improvement.</w:t>
      </w:r>
    </w:p>
    <w:p w14:paraId="232EAD1A" w14:textId="70188B4D" w:rsidR="00605F42" w:rsidRPr="000C7BF6" w:rsidRDefault="00605F42" w:rsidP="00955848">
      <w:pPr>
        <w:pStyle w:val="CS-IBMResponseText"/>
        <w:rPr>
          <w:sz w:val="32"/>
          <w:szCs w:val="28"/>
        </w:rPr>
      </w:pPr>
      <w:r w:rsidRPr="000C7BF6">
        <w:rPr>
          <w:color w:val="0070C0"/>
          <w:sz w:val="32"/>
          <w:szCs w:val="28"/>
        </w:rPr>
        <w:lastRenderedPageBreak/>
        <w:t>Example of Continuous QA Improvement in Action</w:t>
      </w:r>
    </w:p>
    <w:p w14:paraId="50B374D8" w14:textId="77777777" w:rsidR="00605F42" w:rsidRPr="00F346CF" w:rsidRDefault="00605F42" w:rsidP="00955848">
      <w:pPr>
        <w:pStyle w:val="CS-IBMResponseText"/>
        <w:rPr>
          <w:b/>
          <w:bCs/>
        </w:rPr>
      </w:pPr>
      <w:r w:rsidRPr="00F346CF">
        <w:rPr>
          <w:b/>
          <w:bCs/>
        </w:rPr>
        <w:t>Statewide Eligibility Modernization Program – Arizona DES</w:t>
      </w:r>
    </w:p>
    <w:p w14:paraId="56302F78" w14:textId="77777777" w:rsidR="00F346CF" w:rsidRDefault="00605F42" w:rsidP="00955848">
      <w:pPr>
        <w:pStyle w:val="CS-IBMResponseText"/>
      </w:pPr>
      <w:r w:rsidRPr="00F346CF">
        <w:rPr>
          <w:u w:val="single"/>
        </w:rPr>
        <w:t>Context</w:t>
      </w:r>
      <w:r w:rsidRPr="00F04A91">
        <w:t>:</w:t>
      </w:r>
    </w:p>
    <w:p w14:paraId="0F96575E" w14:textId="119A04E9" w:rsidR="00605F42" w:rsidRPr="00F04A91" w:rsidRDefault="00605F42" w:rsidP="00F346CF">
      <w:pPr>
        <w:pStyle w:val="CS-IBMBullet1"/>
      </w:pPr>
      <w:r w:rsidRPr="00F04A91">
        <w:t>Multi-vendor environment including policy changes, cloud migration, Medicaid/SNAP/TANF modules.</w:t>
      </w:r>
    </w:p>
    <w:p w14:paraId="15A25CE9" w14:textId="77777777" w:rsidR="00605F42" w:rsidRPr="00F04A91" w:rsidRDefault="00605F42" w:rsidP="00955848">
      <w:pPr>
        <w:pStyle w:val="CS-IBMResponseText"/>
      </w:pPr>
      <w:r w:rsidRPr="00F346CF">
        <w:rPr>
          <w:u w:val="single"/>
        </w:rPr>
        <w:t>Approach</w:t>
      </w:r>
      <w:r w:rsidRPr="00F04A91">
        <w:t>:</w:t>
      </w:r>
    </w:p>
    <w:p w14:paraId="10D30D1F" w14:textId="77777777" w:rsidR="00605F42" w:rsidRPr="00F04A91" w:rsidRDefault="00605F42" w:rsidP="00F346CF">
      <w:pPr>
        <w:pStyle w:val="CS-IBMBullet1"/>
      </w:pPr>
      <w:r w:rsidRPr="00F04A91">
        <w:t>Implemented Continuous QA Effectiveness Framework.</w:t>
      </w:r>
    </w:p>
    <w:p w14:paraId="0BAB13C4" w14:textId="77777777" w:rsidR="00605F42" w:rsidRPr="00F04A91" w:rsidRDefault="00605F42" w:rsidP="00F346CF">
      <w:pPr>
        <w:pStyle w:val="CS-IBMBullet1"/>
      </w:pPr>
      <w:r w:rsidRPr="00F04A91">
        <w:t>AI-driven defect analytics and model-based optimization.</w:t>
      </w:r>
    </w:p>
    <w:p w14:paraId="3D21EDD7" w14:textId="77777777" w:rsidR="00605F42" w:rsidRPr="00F04A91" w:rsidRDefault="00605F42" w:rsidP="00F346CF">
      <w:pPr>
        <w:pStyle w:val="CS-IBMBullet1"/>
      </w:pPr>
      <w:r w:rsidRPr="00F04A91">
        <w:t>Quarterly maturity reviews and joint vendor learning labs.</w:t>
      </w:r>
    </w:p>
    <w:p w14:paraId="59AE2E51" w14:textId="77777777" w:rsidR="00605F42" w:rsidRPr="00F04A91" w:rsidRDefault="00605F42" w:rsidP="00955848">
      <w:pPr>
        <w:pStyle w:val="CS-IBMResponseText"/>
      </w:pPr>
      <w:r w:rsidRPr="00F346CF">
        <w:rPr>
          <w:u w:val="single"/>
        </w:rPr>
        <w:t>Results</w:t>
      </w:r>
      <w:r w:rsidRPr="00F04A91">
        <w:t>:</w:t>
      </w:r>
    </w:p>
    <w:p w14:paraId="0A33B1C5" w14:textId="77777777" w:rsidR="00605F42" w:rsidRPr="00F04A91" w:rsidRDefault="00605F42" w:rsidP="00F346CF">
      <w:pPr>
        <w:pStyle w:val="CS-IBMBullet1"/>
      </w:pPr>
      <w:r w:rsidRPr="00F04A91">
        <w:t>35% reduction in test cycle time.</w:t>
      </w:r>
    </w:p>
    <w:p w14:paraId="7C378BF5" w14:textId="77777777" w:rsidR="00605F42" w:rsidRPr="00F04A91" w:rsidRDefault="00605F42" w:rsidP="00F346CF">
      <w:pPr>
        <w:pStyle w:val="CS-IBMBullet1"/>
      </w:pPr>
      <w:r w:rsidRPr="00F04A91">
        <w:t>&lt;1% production defect leakage.</w:t>
      </w:r>
    </w:p>
    <w:p w14:paraId="7A013B73" w14:textId="77777777" w:rsidR="00605F42" w:rsidRPr="00F04A91" w:rsidRDefault="00605F42" w:rsidP="00F346CF">
      <w:pPr>
        <w:pStyle w:val="CS-IBMBullet1"/>
      </w:pPr>
      <w:r w:rsidRPr="00F04A91">
        <w:t>30% automation maintenance savings via self-healing.</w:t>
      </w:r>
    </w:p>
    <w:p w14:paraId="1C5297F3" w14:textId="77777777" w:rsidR="00605F42" w:rsidRPr="00F04A91" w:rsidRDefault="00605F42" w:rsidP="00F346CF">
      <w:pPr>
        <w:pStyle w:val="CS-IBMBullet1"/>
      </w:pPr>
      <w:r w:rsidRPr="00F04A91">
        <w:t>95% QA stakeholder satisfaction.</w:t>
      </w:r>
    </w:p>
    <w:p w14:paraId="0E9C2D7B" w14:textId="77777777" w:rsidR="00F346CF" w:rsidRPr="00F346CF" w:rsidRDefault="00605F42" w:rsidP="00955848">
      <w:pPr>
        <w:pStyle w:val="CS-IBMResponseText"/>
        <w:rPr>
          <w:u w:val="single"/>
        </w:rPr>
      </w:pPr>
      <w:r w:rsidRPr="00F346CF">
        <w:rPr>
          <w:u w:val="single"/>
        </w:rPr>
        <w:t>Relevance to CalSAWS:</w:t>
      </w:r>
    </w:p>
    <w:p w14:paraId="2877A18C" w14:textId="27937631" w:rsidR="00BD38F1" w:rsidRDefault="00605F42" w:rsidP="00955848">
      <w:pPr>
        <w:pStyle w:val="CS-IBMBullet1"/>
      </w:pPr>
      <w:r w:rsidRPr="00F04A91">
        <w:t xml:space="preserve">Demonstrates IBM’s ability to continuously improve QA without increasing client resources, in a complex HHS ecosystem </w:t>
      </w:r>
      <w:r w:rsidR="001C6EA0" w:rsidRPr="00F04A91">
        <w:t>like</w:t>
      </w:r>
      <w:r w:rsidRPr="00F04A91">
        <w:t xml:space="preserve"> CalSAWS.</w:t>
      </w:r>
    </w:p>
    <w:p w14:paraId="4AE73DAF" w14:textId="77777777" w:rsidR="00A06CBD" w:rsidRPr="00E264EB" w:rsidRDefault="00A06CBD" w:rsidP="00A06CBD">
      <w:pPr>
        <w:pStyle w:val="CS-IBMBullet1"/>
        <w:numPr>
          <w:ilvl w:val="0"/>
          <w:numId w:val="0"/>
        </w:numPr>
        <w:ind w:left="360"/>
      </w:pPr>
    </w:p>
    <w:p w14:paraId="52CE80E4" w14:textId="7DF2139C" w:rsidR="00605F42" w:rsidRPr="000C7BF6" w:rsidRDefault="00605F42" w:rsidP="00955848">
      <w:pPr>
        <w:pStyle w:val="CS-IBMResponseText"/>
        <w:rPr>
          <w:sz w:val="32"/>
          <w:szCs w:val="28"/>
        </w:rPr>
      </w:pPr>
      <w:r w:rsidRPr="000C7BF6">
        <w:rPr>
          <w:color w:val="0070C0"/>
          <w:sz w:val="32"/>
          <w:szCs w:val="28"/>
        </w:rPr>
        <w:t>Governance and Reporting for Continuous Effectiveness</w:t>
      </w:r>
      <w:r w:rsidRPr="000C7BF6">
        <w:rPr>
          <w:sz w:val="32"/>
          <w:szCs w:val="28"/>
        </w:rPr>
        <w:t xml:space="preserve"> </w:t>
      </w:r>
    </w:p>
    <w:p w14:paraId="57338318" w14:textId="77777777" w:rsidR="00605F42" w:rsidRDefault="00605F42" w:rsidP="00955848">
      <w:pPr>
        <w:pStyle w:val="CS-IBMResponseText"/>
      </w:pPr>
      <w:r w:rsidRPr="00F04A91">
        <w:t>To ensure QA effectiveness is visible, measurable, and jointly owned, IBM embeds continuous improvement into governance.</w:t>
      </w:r>
    </w:p>
    <w:p w14:paraId="28C0EA22" w14:textId="77777777" w:rsidR="00DB282E" w:rsidRPr="00F04A91" w:rsidRDefault="00DB282E" w:rsidP="00955848">
      <w:pPr>
        <w:pStyle w:val="CS-IBMResponseText"/>
      </w:pPr>
    </w:p>
    <w:p w14:paraId="6E390882" w14:textId="77777777" w:rsidR="00605F42" w:rsidRPr="006E509D" w:rsidRDefault="00605F42" w:rsidP="00955848">
      <w:pPr>
        <w:pStyle w:val="CS-IBMResponseText"/>
        <w:rPr>
          <w:b/>
          <w:bCs/>
        </w:rPr>
      </w:pPr>
      <w:r w:rsidRPr="006E509D">
        <w:rPr>
          <w:b/>
          <w:bCs/>
        </w:rPr>
        <w:t>Ongoing Governance Cadence:</w:t>
      </w:r>
    </w:p>
    <w:p w14:paraId="1D08466F" w14:textId="77777777" w:rsidR="00605F42" w:rsidRPr="00F04A91" w:rsidRDefault="00605F42" w:rsidP="006E509D">
      <w:pPr>
        <w:pStyle w:val="CS-IBMBullet1"/>
      </w:pPr>
      <w:r w:rsidRPr="00F04A91">
        <w:t>Weekly QA Effectiveness Stand-ups: cross-vendor action tracking.</w:t>
      </w:r>
    </w:p>
    <w:p w14:paraId="6182D6AE" w14:textId="77777777" w:rsidR="00605F42" w:rsidRPr="00F04A91" w:rsidRDefault="00605F42" w:rsidP="006E509D">
      <w:pPr>
        <w:pStyle w:val="CS-IBMBullet1"/>
      </w:pPr>
      <w:r w:rsidRPr="00F04A91">
        <w:t>Monthly Quality Trend Dashboards: defect trends, automation gains, cycle velocity.</w:t>
      </w:r>
    </w:p>
    <w:p w14:paraId="7372C08D" w14:textId="77777777" w:rsidR="00A06CBD" w:rsidRDefault="00605F42" w:rsidP="00A06CBD">
      <w:pPr>
        <w:pStyle w:val="CS-IBMBullet1"/>
      </w:pPr>
      <w:r w:rsidRPr="00F04A91">
        <w:t>Quarterly QA Maturity Reports: benchmarking and roadmap updates.</w:t>
      </w:r>
    </w:p>
    <w:p w14:paraId="1451DE48" w14:textId="53509687" w:rsidR="00605F42" w:rsidRDefault="00605F42" w:rsidP="00A06CBD">
      <w:pPr>
        <w:pStyle w:val="CS-IBMBullet1"/>
      </w:pPr>
      <w:r w:rsidRPr="00F04A91">
        <w:t xml:space="preserve">Annual QA Effectiveness Summit: strategic planning with Consortium </w:t>
      </w:r>
      <w:r w:rsidR="008273E9" w:rsidRPr="00F04A91">
        <w:t>lead</w:t>
      </w:r>
      <w:r w:rsidR="008273E9">
        <w:t>e</w:t>
      </w:r>
      <w:r w:rsidR="008273E9" w:rsidRPr="00F04A91">
        <w:t>rship</w:t>
      </w:r>
      <w:r w:rsidRPr="00F04A91">
        <w:t>.</w:t>
      </w:r>
    </w:p>
    <w:p w14:paraId="6513A321" w14:textId="77777777" w:rsidR="00A06CBD" w:rsidRPr="00F04A91" w:rsidRDefault="00A06CBD" w:rsidP="00A06CBD">
      <w:pPr>
        <w:pStyle w:val="CS-IBMBullet1"/>
        <w:numPr>
          <w:ilvl w:val="0"/>
          <w:numId w:val="0"/>
        </w:numPr>
        <w:ind w:left="360"/>
      </w:pPr>
    </w:p>
    <w:p w14:paraId="31E92E78" w14:textId="22CD58FC" w:rsidR="00605F42" w:rsidRPr="00A82685" w:rsidRDefault="003172FC" w:rsidP="004F0D8A">
      <w:pPr>
        <w:pStyle w:val="CS-IBMResponseText"/>
        <w:jc w:val="center"/>
        <w:rPr>
          <w:i/>
        </w:rPr>
      </w:pPr>
      <w:r>
        <w:rPr>
          <w:noProof/>
        </w:rPr>
        <w:lastRenderedPageBreak/>
        <mc:AlternateContent>
          <mc:Choice Requires="wps">
            <w:drawing>
              <wp:anchor distT="0" distB="0" distL="114300" distR="114300" simplePos="0" relativeHeight="251658271" behindDoc="0" locked="0" layoutInCell="1" allowOverlap="1" wp14:anchorId="5433ECE9" wp14:editId="37199C0B">
                <wp:simplePos x="0" y="0"/>
                <wp:positionH relativeFrom="column">
                  <wp:posOffset>1146771</wp:posOffset>
                </wp:positionH>
                <wp:positionV relativeFrom="paragraph">
                  <wp:posOffset>3726906</wp:posOffset>
                </wp:positionV>
                <wp:extent cx="3380105" cy="635"/>
                <wp:effectExtent l="0" t="0" r="0" b="0"/>
                <wp:wrapTopAndBottom/>
                <wp:docPr id="1090965339" name="Text Box 1"/>
                <wp:cNvGraphicFramePr/>
                <a:graphic xmlns:a="http://schemas.openxmlformats.org/drawingml/2006/main">
                  <a:graphicData uri="http://schemas.microsoft.com/office/word/2010/wordprocessingShape">
                    <wps:wsp>
                      <wps:cNvSpPr txBox="1"/>
                      <wps:spPr>
                        <a:xfrm>
                          <a:off x="0" y="0"/>
                          <a:ext cx="3380105" cy="635"/>
                        </a:xfrm>
                        <a:prstGeom prst="rect">
                          <a:avLst/>
                        </a:prstGeom>
                        <a:solidFill>
                          <a:prstClr val="white"/>
                        </a:solidFill>
                        <a:ln>
                          <a:noFill/>
                        </a:ln>
                      </wps:spPr>
                      <wps:txbx>
                        <w:txbxContent>
                          <w:p w14:paraId="77231AA1" w14:textId="6BD636FA" w:rsidR="00B32DEC" w:rsidRPr="003E10D8" w:rsidRDefault="00B32DEC" w:rsidP="00B32DEC">
                            <w:pPr>
                              <w:pStyle w:val="Caption"/>
                              <w:jc w:val="center"/>
                              <w:rPr>
                                <w:rFonts w:cs="Arial"/>
                                <w:noProof/>
                                <w:color w:val="000000" w:themeColor="text1"/>
                                <w:sz w:val="22"/>
                                <w:szCs w:val="21"/>
                              </w:rPr>
                            </w:pPr>
                            <w:bookmarkStart w:id="93" w:name="_Toc213068744"/>
                            <w:r>
                              <w:t xml:space="preserve">Figure 4.4.2. </w:t>
                            </w:r>
                            <w:r>
                              <w:fldChar w:fldCharType="begin"/>
                            </w:r>
                            <w:r>
                              <w:instrText xml:space="preserve"> SEQ Figure_4.4.2. \* ARABIC </w:instrText>
                            </w:r>
                            <w:r>
                              <w:fldChar w:fldCharType="separate"/>
                            </w:r>
                            <w:r w:rsidR="005E3037">
                              <w:rPr>
                                <w:noProof/>
                              </w:rPr>
                              <w:t>7</w:t>
                            </w:r>
                            <w:r>
                              <w:fldChar w:fldCharType="end"/>
                            </w:r>
                            <w:r>
                              <w:t xml:space="preserve"> </w:t>
                            </w:r>
                            <w:r w:rsidRPr="00533677">
                              <w:t>Continuous QA Governance Dashboard</w:t>
                            </w:r>
                            <w:bookmarkEnd w:id="9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433ECE9" id="_x0000_s1049" type="#_x0000_t202" style="position:absolute;left:0;text-align:left;margin-left:90.3pt;margin-top:293.45pt;width:266.15pt;height:.05pt;z-index:25165827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" stroked="f">
                <v:textbox style="mso-fit-shape-to-text:t" inset="0,0,0,0">
                  <w:txbxContent>
                    <w:p w14:paraId="77231AA1" w14:textId="6BD636FA" w:rsidR="00B32DEC" w:rsidRPr="003E10D8" w:rsidRDefault="00B32DEC" w:rsidP="00B32DEC">
                      <w:pPr>
                        <w:pStyle w:val="Caption"/>
                        <w:jc w:val="center"/>
                        <w:rPr>
                          <w:rFonts w:cs="Arial"/>
                          <w:noProof/>
                          <w:color w:val="000000" w:themeColor="text1"/>
                          <w:sz w:val="22"/>
                          <w:szCs w:val="21"/>
                        </w:rPr>
                      </w:pPr>
                      <w:bookmarkStart w:id="94" w:name="_Toc213068744"/>
                      <w:r>
                        <w:t xml:space="preserve">Figure 4.4.2. </w:t>
                      </w:r>
                      <w:r>
                        <w:fldChar w:fldCharType="begin"/>
                      </w:r>
                      <w:r>
                        <w:instrText xml:space="preserve"> SEQ Figure_4.4.2. \* ARABIC </w:instrText>
                      </w:r>
                      <w:r>
                        <w:fldChar w:fldCharType="separate"/>
                      </w:r>
                      <w:r w:rsidR="005E3037">
                        <w:rPr>
                          <w:noProof/>
                        </w:rPr>
                        <w:t>7</w:t>
                      </w:r>
                      <w:r>
                        <w:fldChar w:fldCharType="end"/>
                      </w:r>
                      <w:r>
                        <w:t xml:space="preserve"> </w:t>
                      </w:r>
                      <w:r w:rsidRPr="00533677">
                        <w:t>Continuous QA Governance Dashboard</w:t>
                      </w:r>
                      <w:bookmarkEnd w:id="94"/>
                    </w:p>
                  </w:txbxContent>
                </v:textbox>
                <w10:wrap type="topAndBottom"/>
              </v:shape>
            </w:pict>
          </mc:Fallback>
        </mc:AlternateContent>
      </w:r>
      <w:r w:rsidR="004F0D8A">
        <w:rPr>
          <w:noProof/>
        </w:rPr>
        <w:drawing>
          <wp:anchor distT="0" distB="0" distL="114300" distR="114300" simplePos="0" relativeHeight="251658272" behindDoc="1" locked="0" layoutInCell="1" allowOverlap="1" wp14:anchorId="628A38F3" wp14:editId="095B5A7B">
            <wp:simplePos x="0" y="0"/>
            <wp:positionH relativeFrom="column">
              <wp:posOffset>1256030</wp:posOffset>
            </wp:positionH>
            <wp:positionV relativeFrom="paragraph">
              <wp:posOffset>280670</wp:posOffset>
            </wp:positionV>
            <wp:extent cx="3117215" cy="3386455"/>
            <wp:effectExtent l="0" t="0" r="0" b="4445"/>
            <wp:wrapTopAndBottom/>
            <wp:docPr id="1136077117" name="Picture 19" descr="A screen shot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077117" name="Picture 19" descr="A screen shot of a chart&#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117215" cy="3386455"/>
                    </a:xfrm>
                    <a:prstGeom prst="rect">
                      <a:avLst/>
                    </a:prstGeom>
                  </pic:spPr>
                </pic:pic>
              </a:graphicData>
            </a:graphic>
            <wp14:sizeRelH relativeFrom="page">
              <wp14:pctWidth>0</wp14:pctWidth>
            </wp14:sizeRelH>
            <wp14:sizeRelV relativeFrom="page">
              <wp14:pctHeight>0</wp14:pctHeight>
            </wp14:sizeRelV>
          </wp:anchor>
        </w:drawing>
      </w:r>
      <w:r w:rsidR="00605F42" w:rsidRPr="00FD495A">
        <w:rPr>
          <w:b/>
          <w:bCs/>
        </w:rPr>
        <w:t>Outcome and Sustained Value Without Expanding CalSAWS Resources</w:t>
      </w:r>
    </w:p>
    <w:p w14:paraId="1F024768" w14:textId="77777777" w:rsidR="00DB282E" w:rsidRDefault="00DB282E" w:rsidP="00955848">
      <w:pPr>
        <w:pStyle w:val="CS-IBMResponseText"/>
      </w:pPr>
    </w:p>
    <w:p w14:paraId="2DE0CDB4" w14:textId="37F7BD2A" w:rsidR="00605F42" w:rsidRPr="00F04A91" w:rsidRDefault="00605F42" w:rsidP="00955848">
      <w:pPr>
        <w:pStyle w:val="CS-IBMResponseText"/>
      </w:pPr>
      <w:r w:rsidRPr="00F04A91">
        <w:t>IBM’s approach ensures that the independent test suite becomes more accurate, efficient, predictive, automated &amp; collaborative without adding more CalSAWS staff or budget.</w:t>
      </w:r>
    </w:p>
    <w:p w14:paraId="24403C1F" w14:textId="77777777" w:rsidR="00605F42" w:rsidRPr="00F04A91" w:rsidRDefault="00605F42" w:rsidP="00955848">
      <w:pPr>
        <w:pStyle w:val="CS-IBMResponseText"/>
      </w:pPr>
      <w:r w:rsidRPr="00F04A91">
        <w:t>How we do this:</w:t>
      </w:r>
    </w:p>
    <w:p w14:paraId="4F4F40E9" w14:textId="51832FE2" w:rsidR="00605F42" w:rsidRPr="00F04A91" w:rsidRDefault="00605F42" w:rsidP="005D09CF">
      <w:pPr>
        <w:pStyle w:val="CS-IBMBullet1"/>
      </w:pPr>
      <w:r w:rsidRPr="00F04A91">
        <w:t>Replace manual work with automation and AI</w:t>
      </w:r>
    </w:p>
    <w:p w14:paraId="2E7A07B5" w14:textId="7497F1B6" w:rsidR="00605F42" w:rsidRPr="00F04A91" w:rsidRDefault="00605F42" w:rsidP="005D09CF">
      <w:pPr>
        <w:pStyle w:val="CS-IBMBullet1"/>
      </w:pPr>
      <w:r w:rsidRPr="00F04A91">
        <w:t>Use predictive analytics to focus only on what matters</w:t>
      </w:r>
    </w:p>
    <w:p w14:paraId="1A867529" w14:textId="7B91145C" w:rsidR="00605F42" w:rsidRPr="00F04A91" w:rsidRDefault="00605F42" w:rsidP="005D09CF">
      <w:pPr>
        <w:pStyle w:val="CS-IBMBullet1"/>
      </w:pPr>
      <w:r w:rsidRPr="00F04A91">
        <w:t>Continuously reduce redundancy and maintenance costs</w:t>
      </w:r>
    </w:p>
    <w:p w14:paraId="33496788" w14:textId="7BFD9273" w:rsidR="00605F42" w:rsidRPr="00F04A91" w:rsidRDefault="00605F42" w:rsidP="005D09CF">
      <w:pPr>
        <w:pStyle w:val="CS-IBMBullet1"/>
      </w:pPr>
      <w:r w:rsidRPr="00F04A91">
        <w:t xml:space="preserve">Institutionalize lessons learned to avoid repeated issues </w:t>
      </w:r>
    </w:p>
    <w:p w14:paraId="2215AABE" w14:textId="6EC320A6" w:rsidR="00605F42" w:rsidRPr="00F04A91" w:rsidRDefault="00605F42" w:rsidP="005D09CF">
      <w:pPr>
        <w:pStyle w:val="CS-IBMBullet1"/>
      </w:pPr>
      <w:r w:rsidRPr="00F04A91">
        <w:t>Empower vendors and stakeholders to contribute to continuous improvement without additional burden</w:t>
      </w:r>
    </w:p>
    <w:p w14:paraId="7DC62D70" w14:textId="77777777" w:rsidR="005D09CF" w:rsidRPr="005D09CF" w:rsidRDefault="00605F42" w:rsidP="00955848">
      <w:pPr>
        <w:pStyle w:val="CS-IBMResponseText"/>
        <w:rPr>
          <w:b/>
          <w:bCs/>
        </w:rPr>
      </w:pPr>
      <w:r w:rsidRPr="005D09CF">
        <w:rPr>
          <w:b/>
          <w:bCs/>
        </w:rPr>
        <w:t>Final Outcome:</w:t>
      </w:r>
    </w:p>
    <w:p w14:paraId="311268C8" w14:textId="36CA2ACF" w:rsidR="00605F42" w:rsidRPr="00F04A91" w:rsidRDefault="00605F42" w:rsidP="00955848">
      <w:pPr>
        <w:pStyle w:val="CS-IBMResponseText"/>
      </w:pPr>
      <w:r w:rsidRPr="00F04A91">
        <w:t>A living, learning, self-optimizing QA ecosystem that delivers increasing value every release while preserving CalSAWS resource levels—even as modernization and complexity increase.</w:t>
      </w:r>
    </w:p>
    <w:p w14:paraId="2A4A7F00" w14:textId="77777777" w:rsidR="00605F42" w:rsidRPr="00F04A91" w:rsidRDefault="00605F42" w:rsidP="00955848">
      <w:pPr>
        <w:pStyle w:val="CS-IBMResponseText"/>
      </w:pPr>
    </w:p>
    <w:p w14:paraId="68B5B913" w14:textId="77777777" w:rsidR="00EC33DD" w:rsidRDefault="00EC33DD" w:rsidP="00EC33DD">
      <w:pPr>
        <w:pStyle w:val="CS-IBMResponseText"/>
      </w:pPr>
    </w:p>
    <w:sectPr w:rsidR="00EC33DD" w:rsidSect="00D37D15">
      <w:headerReference w:type="default" r:id="rId34"/>
      <w:footerReference w:type="default" r:id="rId35"/>
      <w:pgSz w:w="12240" w:h="15840" w:code="1"/>
      <w:pgMar w:top="1323" w:right="1440" w:bottom="1197" w:left="1440" w:header="504" w:footer="423"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73FCB2" w14:textId="77777777" w:rsidR="00CD72B0" w:rsidRDefault="00CD72B0" w:rsidP="00C25E9E">
      <w:r>
        <w:separator/>
      </w:r>
    </w:p>
    <w:p w14:paraId="36B1DA15" w14:textId="77777777" w:rsidR="00CD72B0" w:rsidRDefault="00CD72B0" w:rsidP="00C25E9E"/>
    <w:p w14:paraId="600831EB" w14:textId="77777777" w:rsidR="00CD72B0" w:rsidRDefault="00CD72B0"/>
    <w:p w14:paraId="356FF07E" w14:textId="77777777" w:rsidR="00CD72B0" w:rsidRDefault="00CD72B0"/>
    <w:p w14:paraId="2269EFBC" w14:textId="77777777" w:rsidR="00CD72B0" w:rsidRDefault="00CD72B0"/>
  </w:endnote>
  <w:endnote w:type="continuationSeparator" w:id="0">
    <w:p w14:paraId="1A353422" w14:textId="77777777" w:rsidR="00CD72B0" w:rsidRDefault="00CD72B0" w:rsidP="00C25E9E">
      <w:r>
        <w:continuationSeparator/>
      </w:r>
    </w:p>
    <w:p w14:paraId="061DB8D3" w14:textId="77777777" w:rsidR="00CD72B0" w:rsidRDefault="00CD72B0" w:rsidP="00C25E9E"/>
    <w:p w14:paraId="3D481A2B" w14:textId="77777777" w:rsidR="00CD72B0" w:rsidRDefault="00CD72B0"/>
    <w:p w14:paraId="1220C136" w14:textId="77777777" w:rsidR="00CD72B0" w:rsidRDefault="00CD72B0"/>
    <w:p w14:paraId="0DA0E313" w14:textId="77777777" w:rsidR="00CD72B0" w:rsidRDefault="00CD72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altName w:val="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IBM Plex Sans">
    <w:panose1 w:val="020B0503050203000203"/>
    <w:charset w:val="00"/>
    <w:family w:val="swiss"/>
    <w:pitch w:val="variable"/>
    <w:sig w:usb0="A00002EF" w:usb1="5000203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Bold">
    <w:altName w:val="Arial"/>
    <w:panose1 w:val="020B0704020202020204"/>
    <w:charset w:val="00"/>
    <w:family w:val="auto"/>
    <w:pitch w:val="variable"/>
    <w:sig w:usb0="E0002A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hnschrift SemiLight Condensed">
    <w:panose1 w:val="020B0502040204020203"/>
    <w:charset w:val="00"/>
    <w:family w:val="swiss"/>
    <w:pitch w:val="variable"/>
    <w:sig w:usb0="A00002C7" w:usb1="00000002" w:usb2="00000000" w:usb3="00000000" w:csb0="0000019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C7E98" w14:textId="3DDF8FA1" w:rsidR="00E72660" w:rsidRPr="007978A1" w:rsidRDefault="007978A1" w:rsidP="007978A1">
    <w:pPr>
      <w:pStyle w:val="Footer"/>
      <w:pBdr>
        <w:top w:val="single" w:sz="4" w:space="10" w:color="auto"/>
      </w:pBdr>
      <w:spacing w:before="240"/>
      <w:rPr>
        <w:szCs w:val="18"/>
      </w:rPr>
    </w:pPr>
    <w:r>
      <w:drawing>
        <wp:anchor distT="0" distB="0" distL="114300" distR="114300" simplePos="0" relativeHeight="251658242" behindDoc="1" locked="1" layoutInCell="1" allowOverlap="1" wp14:anchorId="0B790071" wp14:editId="3C12B08A">
          <wp:simplePos x="0" y="0"/>
          <wp:positionH relativeFrom="margin">
            <wp:align>left</wp:align>
          </wp:positionH>
          <wp:positionV relativeFrom="page">
            <wp:posOffset>9582785</wp:posOffset>
          </wp:positionV>
          <wp:extent cx="497205" cy="194945"/>
          <wp:effectExtent l="0" t="0" r="0" b="0"/>
          <wp:wrapNone/>
          <wp:docPr id="190400185" name="Picture 190400185" descr="A blue and black striped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ue and black striped logo&#10;&#10;AI-generated content may be incorrect."/>
                  <pic:cNvPicPr/>
                </pic:nvPicPr>
                <pic:blipFill>
                  <a:blip r:embed="rId1">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97205" cy="194945"/>
                  </a:xfrm>
                  <a:prstGeom prst="rect">
                    <a:avLst/>
                  </a:prstGeom>
                </pic:spPr>
              </pic:pic>
            </a:graphicData>
          </a:graphic>
          <wp14:sizeRelH relativeFrom="page">
            <wp14:pctWidth>0</wp14:pctWidth>
          </wp14:sizeRelH>
          <wp14:sizeRelV relativeFrom="page">
            <wp14:pctHeight>0</wp14:pctHeight>
          </wp14:sizeRelV>
        </wp:anchor>
      </w:drawing>
    </w:r>
    <w:r>
      <w:rPr>
        <w:szCs w:val="18"/>
      </w:rPr>
      <w:t xml:space="preserve"> </w:t>
    </w:r>
    <w:r w:rsidRPr="005232E1">
      <w:rPr>
        <w:szCs w:val="18"/>
      </w:rPr>
      <w:tab/>
    </w:r>
    <w:r w:rsidRPr="005232E1">
      <w:rPr>
        <w:szCs w:val="18"/>
      </w:rPr>
      <w:tab/>
      <w:t xml:space="preserve">Page | </w:t>
    </w:r>
    <w:r w:rsidRPr="005232E1">
      <w:rPr>
        <w:szCs w:val="18"/>
      </w:rPr>
      <w:fldChar w:fldCharType="begin"/>
    </w:r>
    <w:r w:rsidRPr="005232E1">
      <w:rPr>
        <w:szCs w:val="18"/>
      </w:rPr>
      <w:instrText xml:space="preserve"> PAGE </w:instrText>
    </w:r>
    <w:r w:rsidRPr="005232E1">
      <w:rPr>
        <w:szCs w:val="18"/>
      </w:rPr>
      <w:fldChar w:fldCharType="separate"/>
    </w:r>
    <w:r>
      <w:rPr>
        <w:szCs w:val="18"/>
      </w:rPr>
      <w:t>1</w:t>
    </w:r>
    <w:r w:rsidRPr="005232E1">
      <w:rPr>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8D178" w14:textId="660844EA" w:rsidR="00E1306C" w:rsidRPr="007978A1" w:rsidRDefault="007978A1" w:rsidP="007978A1">
    <w:pPr>
      <w:pStyle w:val="Footer"/>
      <w:pBdr>
        <w:top w:val="single" w:sz="4" w:space="10" w:color="auto"/>
      </w:pBdr>
      <w:spacing w:before="240"/>
      <w:rPr>
        <w:szCs w:val="18"/>
      </w:rPr>
    </w:pPr>
    <w:r>
      <w:drawing>
        <wp:anchor distT="0" distB="0" distL="114300" distR="114300" simplePos="0" relativeHeight="251658243" behindDoc="1" locked="1" layoutInCell="1" allowOverlap="1" wp14:anchorId="7BAB6BA6" wp14:editId="7A4DC26D">
          <wp:simplePos x="0" y="0"/>
          <wp:positionH relativeFrom="margin">
            <wp:align>left</wp:align>
          </wp:positionH>
          <wp:positionV relativeFrom="page">
            <wp:posOffset>9582785</wp:posOffset>
          </wp:positionV>
          <wp:extent cx="497205" cy="194945"/>
          <wp:effectExtent l="0" t="0" r="0" b="0"/>
          <wp:wrapNone/>
          <wp:docPr id="1298267719" name="Picture 1298267719" descr="A blue and black striped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ue and black striped logo&#10;&#10;AI-generated content may be incorrect."/>
                  <pic:cNvPicPr/>
                </pic:nvPicPr>
                <pic:blipFill>
                  <a:blip r:embed="rId1">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97205" cy="194945"/>
                  </a:xfrm>
                  <a:prstGeom prst="rect">
                    <a:avLst/>
                  </a:prstGeom>
                </pic:spPr>
              </pic:pic>
            </a:graphicData>
          </a:graphic>
          <wp14:sizeRelH relativeFrom="page">
            <wp14:pctWidth>0</wp14:pctWidth>
          </wp14:sizeRelH>
          <wp14:sizeRelV relativeFrom="page">
            <wp14:pctHeight>0</wp14:pctHeight>
          </wp14:sizeRelV>
        </wp:anchor>
      </w:drawing>
    </w:r>
    <w:r>
      <w:rPr>
        <w:szCs w:val="18"/>
      </w:rPr>
      <w:t xml:space="preserve"> </w:t>
    </w:r>
    <w:r w:rsidRPr="005232E1">
      <w:rPr>
        <w:szCs w:val="18"/>
      </w:rPr>
      <w:tab/>
    </w:r>
    <w:r w:rsidRPr="005232E1">
      <w:rPr>
        <w:szCs w:val="18"/>
      </w:rPr>
      <w:tab/>
      <w:t xml:space="preserve">Page | </w:t>
    </w:r>
    <w:r w:rsidRPr="005232E1">
      <w:rPr>
        <w:szCs w:val="18"/>
      </w:rPr>
      <w:fldChar w:fldCharType="begin"/>
    </w:r>
    <w:r w:rsidRPr="005232E1">
      <w:rPr>
        <w:szCs w:val="18"/>
      </w:rPr>
      <w:instrText xml:space="preserve"> PAGE </w:instrText>
    </w:r>
    <w:r w:rsidRPr="005232E1">
      <w:rPr>
        <w:szCs w:val="18"/>
      </w:rPr>
      <w:fldChar w:fldCharType="separate"/>
    </w:r>
    <w:r>
      <w:rPr>
        <w:szCs w:val="18"/>
      </w:rPr>
      <w:t>1</w:t>
    </w:r>
    <w:r w:rsidRPr="005232E1">
      <w:rPr>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4E8689" w14:textId="77777777" w:rsidR="00CD72B0" w:rsidRDefault="00CD72B0" w:rsidP="00C25E9E">
      <w:r>
        <w:separator/>
      </w:r>
    </w:p>
    <w:p w14:paraId="688C081D" w14:textId="77777777" w:rsidR="00CD72B0" w:rsidRDefault="00CD72B0" w:rsidP="00C25E9E"/>
    <w:p w14:paraId="5F203246" w14:textId="77777777" w:rsidR="00CD72B0" w:rsidRDefault="00CD72B0"/>
    <w:p w14:paraId="71359D4A" w14:textId="77777777" w:rsidR="00CD72B0" w:rsidRDefault="00CD72B0"/>
    <w:p w14:paraId="30E0155F" w14:textId="77777777" w:rsidR="00CD72B0" w:rsidRDefault="00CD72B0"/>
  </w:footnote>
  <w:footnote w:type="continuationSeparator" w:id="0">
    <w:p w14:paraId="7292D5C8" w14:textId="77777777" w:rsidR="00CD72B0" w:rsidRDefault="00CD72B0" w:rsidP="00C25E9E">
      <w:r>
        <w:continuationSeparator/>
      </w:r>
    </w:p>
    <w:p w14:paraId="06203F0A" w14:textId="77777777" w:rsidR="00CD72B0" w:rsidRDefault="00CD72B0" w:rsidP="00C25E9E"/>
    <w:p w14:paraId="1E1F0CF8" w14:textId="77777777" w:rsidR="00CD72B0" w:rsidRDefault="00CD72B0"/>
    <w:p w14:paraId="284151A0" w14:textId="77777777" w:rsidR="00CD72B0" w:rsidRDefault="00CD72B0"/>
    <w:p w14:paraId="6CE51E32" w14:textId="77777777" w:rsidR="00CD72B0" w:rsidRDefault="00CD72B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D64CF" w14:textId="77777777" w:rsidR="004D7D12" w:rsidRDefault="004D7D12" w:rsidP="00324ACB">
    <w:pPr>
      <w:pStyle w:val="CS-IBMHeader"/>
      <w:pBdr>
        <w:bottom w:val="none" w:sz="0" w:space="0" w:color="auto"/>
      </w:pBdr>
      <w:spacing w:after="0"/>
      <w:rPr>
        <w:rFonts w:cs="Times New Roman"/>
      </w:rPr>
    </w:pPr>
    <w:r w:rsidRPr="004D7D12">
      <w:rPr>
        <w:rFonts w:cs="Times New Roman"/>
      </w:rPr>
      <w:t>California Statewide Automated Welfare System</w:t>
    </w:r>
    <w:r>
      <w:rPr>
        <w:rFonts w:cs="Times New Roman"/>
      </w:rPr>
      <w:t xml:space="preserve"> (</w:t>
    </w:r>
    <w:r w:rsidR="0008081E" w:rsidRPr="0008081E">
      <w:rPr>
        <w:rFonts w:cs="Times New Roman"/>
      </w:rPr>
      <w:t>CalSAWS</w:t>
    </w:r>
    <w:r>
      <w:rPr>
        <w:rFonts w:cs="Times New Roman"/>
      </w:rPr>
      <w:t>)</w:t>
    </w:r>
  </w:p>
  <w:p w14:paraId="2D2B7134" w14:textId="77777777" w:rsidR="00D72EE8" w:rsidRDefault="004D7D12" w:rsidP="00324ACB">
    <w:pPr>
      <w:pStyle w:val="CS-IBMHeader"/>
      <w:pBdr>
        <w:bottom w:val="none" w:sz="0" w:space="0" w:color="auto"/>
      </w:pBdr>
      <w:spacing w:after="0"/>
      <w:rPr>
        <w:rFonts w:cs="Times New Roman"/>
      </w:rPr>
    </w:pPr>
    <w:r>
      <w:rPr>
        <w:rFonts w:cs="Times New Roman"/>
      </w:rPr>
      <w:t>Q</w:t>
    </w:r>
    <w:r w:rsidR="0008081E" w:rsidRPr="0008081E">
      <w:rPr>
        <w:rFonts w:cs="Times New Roman"/>
      </w:rPr>
      <w:t>uality Assurance (QA)</w:t>
    </w:r>
  </w:p>
  <w:p w14:paraId="24A7AB3C" w14:textId="0A231EB6" w:rsidR="00206614" w:rsidRPr="002A65F1" w:rsidRDefault="0008081E" w:rsidP="00324ACB">
    <w:pPr>
      <w:pStyle w:val="CS-IBMHeader"/>
      <w:pBdr>
        <w:bottom w:val="none" w:sz="0" w:space="0" w:color="auto"/>
      </w:pBdr>
      <w:spacing w:after="0"/>
      <w:rPr>
        <w:rFonts w:cs="Times New Roman"/>
        <w:highlight w:val="yellow"/>
      </w:rPr>
    </w:pPr>
    <w:r w:rsidRPr="0008081E">
      <w:rPr>
        <w:rFonts w:cs="Times New Roman"/>
      </w:rPr>
      <w:t xml:space="preserve"> Services RFP #01-2025</w:t>
    </w:r>
    <w:r w:rsidR="00206614" w:rsidRPr="00206614">
      <w:rPr>
        <w:rFonts w:cs="Times New Roman"/>
        <w:highlight w:val="yellow"/>
      </w:rPr>
      <w:drawing>
        <wp:anchor distT="0" distB="0" distL="114300" distR="114300" simplePos="0" relativeHeight="251658240" behindDoc="1" locked="0" layoutInCell="1" allowOverlap="1" wp14:anchorId="55F27EBC" wp14:editId="52F4C5EB">
          <wp:simplePos x="0" y="0"/>
          <wp:positionH relativeFrom="margin">
            <wp:align>right</wp:align>
          </wp:positionH>
          <wp:positionV relativeFrom="paragraph">
            <wp:posOffset>3387</wp:posOffset>
          </wp:positionV>
          <wp:extent cx="1157605" cy="158115"/>
          <wp:effectExtent l="0" t="0" r="4445" b="0"/>
          <wp:wrapNone/>
          <wp:docPr id="1171789037" name="Picture 1171789037">
            <a:extLst xmlns:a="http://schemas.openxmlformats.org/drawingml/2006/main">
              <a:ext uri="{FF2B5EF4-FFF2-40B4-BE49-F238E27FC236}">
                <a16:creationId xmlns:a16="http://schemas.microsoft.com/office/drawing/2014/main" id="{439CF450-60B5-0440-9E64-DF3B7ECC47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39CF450-60B5-0440-9E64-DF3B7ECC478F}"/>
                      </a:ext>
                    </a:extLst>
                  </pic:cNvPr>
                  <pic:cNvPicPr>
                    <a:picLocks noChangeAspect="1"/>
                  </pic:cNvPicPr>
                </pic:nvPicPr>
                <pic:blipFill>
                  <a:blip r:embed="rId1" cstate="print">
                    <a:lum bright="-40000" contrast="-40000"/>
                    <a:extLst>
                      <a:ext uri="{28A0092B-C50C-407E-A947-70E740481C1C}">
                        <a14:useLocalDpi xmlns:a14="http://schemas.microsoft.com/office/drawing/2010/main" val="0"/>
                      </a:ext>
                    </a:extLst>
                  </a:blip>
                  <a:stretch>
                    <a:fillRect/>
                  </a:stretch>
                </pic:blipFill>
                <pic:spPr>
                  <a:xfrm>
                    <a:off x="0" y="0"/>
                    <a:ext cx="1157605" cy="158115"/>
                  </a:xfrm>
                  <a:prstGeom prst="rect">
                    <a:avLst/>
                  </a:prstGeom>
                </pic:spPr>
              </pic:pic>
            </a:graphicData>
          </a:graphic>
          <wp14:sizeRelH relativeFrom="page">
            <wp14:pctWidth>0</wp14:pctWidth>
          </wp14:sizeRelH>
          <wp14:sizeRelV relativeFrom="page">
            <wp14:pctHeight>0</wp14:pctHeight>
          </wp14:sizeRelV>
        </wp:anchor>
      </w:drawing>
    </w:r>
  </w:p>
  <w:p w14:paraId="4F60D0DF" w14:textId="77777777" w:rsidR="00877442" w:rsidRDefault="00877442" w:rsidP="00314784">
    <w:pPr>
      <w:pBdr>
        <w:bottom w:val="single" w:sz="4" w:space="1" w:color="7F7F7F"/>
      </w:pBdr>
      <w:spacing w:before="0" w:after="0"/>
    </w:pPr>
  </w:p>
  <w:p w14:paraId="5039DE11" w14:textId="77777777" w:rsidR="00E948FB" w:rsidRPr="00877442" w:rsidRDefault="00E948FB" w:rsidP="00877442">
    <w:pPr>
      <w:pStyle w:val="Header"/>
      <w:pBdr>
        <w:bottom w:val="none" w:sz="0" w:space="0" w:color="auto"/>
      </w:pBdr>
      <w:spacing w:befor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07185" w14:textId="77777777" w:rsidR="004D7D12" w:rsidRDefault="004D7D12" w:rsidP="004D7D12">
    <w:pPr>
      <w:pStyle w:val="CS-IBMHeader"/>
      <w:pBdr>
        <w:bottom w:val="none" w:sz="0" w:space="0" w:color="auto"/>
      </w:pBdr>
      <w:spacing w:after="0"/>
      <w:rPr>
        <w:rFonts w:cs="Times New Roman"/>
      </w:rPr>
    </w:pPr>
    <w:r w:rsidRPr="004D7D12">
      <w:rPr>
        <w:rFonts w:cs="Times New Roman"/>
      </w:rPr>
      <w:t>California Statewide Automated Welfare System</w:t>
    </w:r>
    <w:r>
      <w:rPr>
        <w:rFonts w:cs="Times New Roman"/>
      </w:rPr>
      <w:t xml:space="preserve"> (</w:t>
    </w:r>
    <w:r w:rsidRPr="0008081E">
      <w:rPr>
        <w:rFonts w:cs="Times New Roman"/>
      </w:rPr>
      <w:t>CalSAWS</w:t>
    </w:r>
    <w:r>
      <w:rPr>
        <w:rFonts w:cs="Times New Roman"/>
      </w:rPr>
      <w:t>)</w:t>
    </w:r>
  </w:p>
  <w:p w14:paraId="442FC9D7" w14:textId="77777777" w:rsidR="004D7D12" w:rsidRPr="002A65F1" w:rsidRDefault="004D7D12" w:rsidP="004D7D12">
    <w:pPr>
      <w:pStyle w:val="CS-IBMHeader"/>
      <w:pBdr>
        <w:bottom w:val="none" w:sz="0" w:space="0" w:color="auto"/>
      </w:pBdr>
      <w:spacing w:after="0"/>
      <w:rPr>
        <w:rFonts w:cs="Times New Roman"/>
        <w:highlight w:val="yellow"/>
      </w:rPr>
    </w:pPr>
    <w:r>
      <w:rPr>
        <w:rFonts w:cs="Times New Roman"/>
      </w:rPr>
      <w:t>Q</w:t>
    </w:r>
    <w:r w:rsidRPr="0008081E">
      <w:rPr>
        <w:rFonts w:cs="Times New Roman"/>
      </w:rPr>
      <w:t>uality Assurance (QA) Services RFP #01-2025</w:t>
    </w:r>
    <w:r w:rsidRPr="00206614">
      <w:rPr>
        <w:rFonts w:cs="Times New Roman"/>
        <w:highlight w:val="yellow"/>
      </w:rPr>
      <w:drawing>
        <wp:anchor distT="0" distB="0" distL="114300" distR="114300" simplePos="0" relativeHeight="251658241" behindDoc="1" locked="0" layoutInCell="1" allowOverlap="1" wp14:anchorId="279856EA" wp14:editId="1A4B2374">
          <wp:simplePos x="0" y="0"/>
          <wp:positionH relativeFrom="margin">
            <wp:align>right</wp:align>
          </wp:positionH>
          <wp:positionV relativeFrom="paragraph">
            <wp:posOffset>3387</wp:posOffset>
          </wp:positionV>
          <wp:extent cx="1157605" cy="158115"/>
          <wp:effectExtent l="0" t="0" r="4445" b="0"/>
          <wp:wrapNone/>
          <wp:docPr id="1340454700" name="Picture 1340454700">
            <a:extLst xmlns:a="http://schemas.openxmlformats.org/drawingml/2006/main">
              <a:ext uri="{FF2B5EF4-FFF2-40B4-BE49-F238E27FC236}">
                <a16:creationId xmlns:a16="http://schemas.microsoft.com/office/drawing/2014/main" id="{439CF450-60B5-0440-9E64-DF3B7ECC47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39CF450-60B5-0440-9E64-DF3B7ECC478F}"/>
                      </a:ext>
                    </a:extLst>
                  </pic:cNvPr>
                  <pic:cNvPicPr>
                    <a:picLocks noChangeAspect="1"/>
                  </pic:cNvPicPr>
                </pic:nvPicPr>
                <pic:blipFill>
                  <a:blip r:embed="rId1" cstate="print">
                    <a:lum bright="-40000" contrast="-40000"/>
                    <a:extLst>
                      <a:ext uri="{28A0092B-C50C-407E-A947-70E740481C1C}">
                        <a14:useLocalDpi xmlns:a14="http://schemas.microsoft.com/office/drawing/2010/main" val="0"/>
                      </a:ext>
                    </a:extLst>
                  </a:blip>
                  <a:stretch>
                    <a:fillRect/>
                  </a:stretch>
                </pic:blipFill>
                <pic:spPr>
                  <a:xfrm>
                    <a:off x="0" y="0"/>
                    <a:ext cx="1157605" cy="158115"/>
                  </a:xfrm>
                  <a:prstGeom prst="rect">
                    <a:avLst/>
                  </a:prstGeom>
                </pic:spPr>
              </pic:pic>
            </a:graphicData>
          </a:graphic>
          <wp14:sizeRelH relativeFrom="page">
            <wp14:pctWidth>0</wp14:pctWidth>
          </wp14:sizeRelH>
          <wp14:sizeRelV relativeFrom="page">
            <wp14:pctHeight>0</wp14:pctHeight>
          </wp14:sizeRelV>
        </wp:anchor>
      </w:drawing>
    </w:r>
  </w:p>
  <w:p w14:paraId="785F24BA" w14:textId="77777777" w:rsidR="004D7D12" w:rsidRDefault="004D7D12" w:rsidP="004D7D12">
    <w:pPr>
      <w:pBdr>
        <w:bottom w:val="single" w:sz="4" w:space="1" w:color="7F7F7F"/>
      </w:pBdr>
      <w:spacing w:before="0" w:after="0"/>
    </w:pPr>
  </w:p>
  <w:p w14:paraId="7510FBC9" w14:textId="77777777" w:rsidR="004D7D12" w:rsidRPr="00877442" w:rsidRDefault="004D7D12" w:rsidP="004D7D12">
    <w:pPr>
      <w:pStyle w:val="Header"/>
      <w:pBdr>
        <w:bottom w:val="none" w:sz="0" w:space="0" w:color="auto"/>
      </w:pBdr>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04056C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41AC9"/>
    <w:multiLevelType w:val="hybridMultilevel"/>
    <w:tmpl w:val="6E0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3FC1485"/>
    <w:multiLevelType w:val="hybridMultilevel"/>
    <w:tmpl w:val="CE5083CC"/>
    <w:lvl w:ilvl="0" w:tplc="14D81F46">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56E0B4C"/>
    <w:multiLevelType w:val="hybridMultilevel"/>
    <w:tmpl w:val="D0F62728"/>
    <w:lvl w:ilvl="0" w:tplc="F3BABDEE">
      <w:start w:val="1"/>
      <w:numFmt w:val="bullet"/>
      <w:pStyle w:val="CS-IBMBullet1"/>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8D0FC4"/>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 w15:restartNumberingAfterBreak="0">
    <w:nsid w:val="07D47F4A"/>
    <w:multiLevelType w:val="hybridMultilevel"/>
    <w:tmpl w:val="369E9BE0"/>
    <w:lvl w:ilvl="0" w:tplc="6248E2EE">
      <w:start w:val="1"/>
      <w:numFmt w:val="bullet"/>
      <w:lvlText w:val=""/>
      <w:lvlJc w:val="left"/>
      <w:pPr>
        <w:ind w:left="1080" w:hanging="360"/>
      </w:pPr>
      <w:rPr>
        <w:rFonts w:ascii="Symbol" w:hAnsi="Symbol"/>
      </w:rPr>
    </w:lvl>
    <w:lvl w:ilvl="1" w:tplc="5C06D212">
      <w:start w:val="1"/>
      <w:numFmt w:val="bullet"/>
      <w:lvlText w:val=""/>
      <w:lvlJc w:val="left"/>
      <w:pPr>
        <w:ind w:left="1080" w:hanging="360"/>
      </w:pPr>
      <w:rPr>
        <w:rFonts w:ascii="Symbol" w:hAnsi="Symbol"/>
      </w:rPr>
    </w:lvl>
    <w:lvl w:ilvl="2" w:tplc="A87E8E08">
      <w:start w:val="1"/>
      <w:numFmt w:val="bullet"/>
      <w:lvlText w:val=""/>
      <w:lvlJc w:val="left"/>
      <w:pPr>
        <w:ind w:left="1080" w:hanging="360"/>
      </w:pPr>
      <w:rPr>
        <w:rFonts w:ascii="Symbol" w:hAnsi="Symbol"/>
      </w:rPr>
    </w:lvl>
    <w:lvl w:ilvl="3" w:tplc="2E9C6092">
      <w:start w:val="1"/>
      <w:numFmt w:val="bullet"/>
      <w:lvlText w:val=""/>
      <w:lvlJc w:val="left"/>
      <w:pPr>
        <w:ind w:left="1080" w:hanging="360"/>
      </w:pPr>
      <w:rPr>
        <w:rFonts w:ascii="Symbol" w:hAnsi="Symbol"/>
      </w:rPr>
    </w:lvl>
    <w:lvl w:ilvl="4" w:tplc="21901316">
      <w:start w:val="1"/>
      <w:numFmt w:val="bullet"/>
      <w:lvlText w:val=""/>
      <w:lvlJc w:val="left"/>
      <w:pPr>
        <w:ind w:left="1080" w:hanging="360"/>
      </w:pPr>
      <w:rPr>
        <w:rFonts w:ascii="Symbol" w:hAnsi="Symbol"/>
      </w:rPr>
    </w:lvl>
    <w:lvl w:ilvl="5" w:tplc="865264B8">
      <w:start w:val="1"/>
      <w:numFmt w:val="bullet"/>
      <w:lvlText w:val=""/>
      <w:lvlJc w:val="left"/>
      <w:pPr>
        <w:ind w:left="1080" w:hanging="360"/>
      </w:pPr>
      <w:rPr>
        <w:rFonts w:ascii="Symbol" w:hAnsi="Symbol"/>
      </w:rPr>
    </w:lvl>
    <w:lvl w:ilvl="6" w:tplc="5AC6C8B8">
      <w:start w:val="1"/>
      <w:numFmt w:val="bullet"/>
      <w:lvlText w:val=""/>
      <w:lvlJc w:val="left"/>
      <w:pPr>
        <w:ind w:left="1080" w:hanging="360"/>
      </w:pPr>
      <w:rPr>
        <w:rFonts w:ascii="Symbol" w:hAnsi="Symbol"/>
      </w:rPr>
    </w:lvl>
    <w:lvl w:ilvl="7" w:tplc="BFA0DE70">
      <w:start w:val="1"/>
      <w:numFmt w:val="bullet"/>
      <w:lvlText w:val=""/>
      <w:lvlJc w:val="left"/>
      <w:pPr>
        <w:ind w:left="1080" w:hanging="360"/>
      </w:pPr>
      <w:rPr>
        <w:rFonts w:ascii="Symbol" w:hAnsi="Symbol"/>
      </w:rPr>
    </w:lvl>
    <w:lvl w:ilvl="8" w:tplc="084C9264">
      <w:start w:val="1"/>
      <w:numFmt w:val="bullet"/>
      <w:lvlText w:val=""/>
      <w:lvlJc w:val="left"/>
      <w:pPr>
        <w:ind w:left="1080" w:hanging="360"/>
      </w:pPr>
      <w:rPr>
        <w:rFonts w:ascii="Symbol" w:hAnsi="Symbol"/>
      </w:rPr>
    </w:lvl>
  </w:abstractNum>
  <w:abstractNum w:abstractNumId="7" w15:restartNumberingAfterBreak="0">
    <w:nsid w:val="08986788"/>
    <w:multiLevelType w:val="hybridMultilevel"/>
    <w:tmpl w:val="4594CC20"/>
    <w:lvl w:ilvl="0" w:tplc="14D81F46">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90E0893"/>
    <w:multiLevelType w:val="hybridMultilevel"/>
    <w:tmpl w:val="1D5E1B5E"/>
    <w:lvl w:ilvl="0" w:tplc="441A3046">
      <w:start w:val="1"/>
      <w:numFmt w:val="bullet"/>
      <w:lvlText w:val=""/>
      <w:lvlJc w:val="left"/>
      <w:pPr>
        <w:ind w:left="1080" w:hanging="360"/>
      </w:pPr>
      <w:rPr>
        <w:rFonts w:ascii="Symbol" w:hAnsi="Symbol"/>
      </w:rPr>
    </w:lvl>
    <w:lvl w:ilvl="1" w:tplc="59CC678E">
      <w:start w:val="1"/>
      <w:numFmt w:val="bullet"/>
      <w:lvlText w:val=""/>
      <w:lvlJc w:val="left"/>
      <w:pPr>
        <w:ind w:left="1080" w:hanging="360"/>
      </w:pPr>
      <w:rPr>
        <w:rFonts w:ascii="Symbol" w:hAnsi="Symbol"/>
      </w:rPr>
    </w:lvl>
    <w:lvl w:ilvl="2" w:tplc="09729E48">
      <w:start w:val="1"/>
      <w:numFmt w:val="bullet"/>
      <w:lvlText w:val=""/>
      <w:lvlJc w:val="left"/>
      <w:pPr>
        <w:ind w:left="1080" w:hanging="360"/>
      </w:pPr>
      <w:rPr>
        <w:rFonts w:ascii="Symbol" w:hAnsi="Symbol"/>
      </w:rPr>
    </w:lvl>
    <w:lvl w:ilvl="3" w:tplc="C2AE0C94">
      <w:start w:val="1"/>
      <w:numFmt w:val="bullet"/>
      <w:lvlText w:val=""/>
      <w:lvlJc w:val="left"/>
      <w:pPr>
        <w:ind w:left="1080" w:hanging="360"/>
      </w:pPr>
      <w:rPr>
        <w:rFonts w:ascii="Symbol" w:hAnsi="Symbol"/>
      </w:rPr>
    </w:lvl>
    <w:lvl w:ilvl="4" w:tplc="CE728362">
      <w:start w:val="1"/>
      <w:numFmt w:val="bullet"/>
      <w:lvlText w:val=""/>
      <w:lvlJc w:val="left"/>
      <w:pPr>
        <w:ind w:left="1080" w:hanging="360"/>
      </w:pPr>
      <w:rPr>
        <w:rFonts w:ascii="Symbol" w:hAnsi="Symbol"/>
      </w:rPr>
    </w:lvl>
    <w:lvl w:ilvl="5" w:tplc="D910C696">
      <w:start w:val="1"/>
      <w:numFmt w:val="bullet"/>
      <w:lvlText w:val=""/>
      <w:lvlJc w:val="left"/>
      <w:pPr>
        <w:ind w:left="1080" w:hanging="360"/>
      </w:pPr>
      <w:rPr>
        <w:rFonts w:ascii="Symbol" w:hAnsi="Symbol"/>
      </w:rPr>
    </w:lvl>
    <w:lvl w:ilvl="6" w:tplc="FC1AFD70">
      <w:start w:val="1"/>
      <w:numFmt w:val="bullet"/>
      <w:lvlText w:val=""/>
      <w:lvlJc w:val="left"/>
      <w:pPr>
        <w:ind w:left="1080" w:hanging="360"/>
      </w:pPr>
      <w:rPr>
        <w:rFonts w:ascii="Symbol" w:hAnsi="Symbol"/>
      </w:rPr>
    </w:lvl>
    <w:lvl w:ilvl="7" w:tplc="4720F32C">
      <w:start w:val="1"/>
      <w:numFmt w:val="bullet"/>
      <w:lvlText w:val=""/>
      <w:lvlJc w:val="left"/>
      <w:pPr>
        <w:ind w:left="1080" w:hanging="360"/>
      </w:pPr>
      <w:rPr>
        <w:rFonts w:ascii="Symbol" w:hAnsi="Symbol"/>
      </w:rPr>
    </w:lvl>
    <w:lvl w:ilvl="8" w:tplc="A8F2B4EE">
      <w:start w:val="1"/>
      <w:numFmt w:val="bullet"/>
      <w:lvlText w:val=""/>
      <w:lvlJc w:val="left"/>
      <w:pPr>
        <w:ind w:left="1080" w:hanging="360"/>
      </w:pPr>
      <w:rPr>
        <w:rFonts w:ascii="Symbol" w:hAnsi="Symbol"/>
      </w:rPr>
    </w:lvl>
  </w:abstractNum>
  <w:abstractNum w:abstractNumId="9" w15:restartNumberingAfterBreak="0">
    <w:nsid w:val="09802113"/>
    <w:multiLevelType w:val="hybridMultilevel"/>
    <w:tmpl w:val="408802CE"/>
    <w:lvl w:ilvl="0" w:tplc="14D81F46">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09AC462C"/>
    <w:multiLevelType w:val="multilevel"/>
    <w:tmpl w:val="F1AC1862"/>
    <w:lvl w:ilvl="0">
      <w:start w:val="4"/>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1" w15:restartNumberingAfterBreak="0">
    <w:nsid w:val="09C03964"/>
    <w:multiLevelType w:val="hybridMultilevel"/>
    <w:tmpl w:val="C7E8A056"/>
    <w:lvl w:ilvl="0" w:tplc="9DD6C8E0">
      <w:start w:val="1"/>
      <w:numFmt w:val="bullet"/>
      <w:lvlText w:val=""/>
      <w:lvlJc w:val="left"/>
      <w:pPr>
        <w:ind w:left="1080" w:hanging="360"/>
      </w:pPr>
      <w:rPr>
        <w:rFonts w:ascii="Symbol" w:hAnsi="Symbol"/>
      </w:rPr>
    </w:lvl>
    <w:lvl w:ilvl="1" w:tplc="D3F6137C">
      <w:start w:val="1"/>
      <w:numFmt w:val="bullet"/>
      <w:lvlText w:val=""/>
      <w:lvlJc w:val="left"/>
      <w:pPr>
        <w:ind w:left="1080" w:hanging="360"/>
      </w:pPr>
      <w:rPr>
        <w:rFonts w:ascii="Symbol" w:hAnsi="Symbol"/>
      </w:rPr>
    </w:lvl>
    <w:lvl w:ilvl="2" w:tplc="D73E1198">
      <w:start w:val="1"/>
      <w:numFmt w:val="bullet"/>
      <w:lvlText w:val=""/>
      <w:lvlJc w:val="left"/>
      <w:pPr>
        <w:ind w:left="1080" w:hanging="360"/>
      </w:pPr>
      <w:rPr>
        <w:rFonts w:ascii="Symbol" w:hAnsi="Symbol"/>
      </w:rPr>
    </w:lvl>
    <w:lvl w:ilvl="3" w:tplc="41F84DE2">
      <w:start w:val="1"/>
      <w:numFmt w:val="bullet"/>
      <w:lvlText w:val=""/>
      <w:lvlJc w:val="left"/>
      <w:pPr>
        <w:ind w:left="1080" w:hanging="360"/>
      </w:pPr>
      <w:rPr>
        <w:rFonts w:ascii="Symbol" w:hAnsi="Symbol"/>
      </w:rPr>
    </w:lvl>
    <w:lvl w:ilvl="4" w:tplc="6A04A3AA">
      <w:start w:val="1"/>
      <w:numFmt w:val="bullet"/>
      <w:lvlText w:val=""/>
      <w:lvlJc w:val="left"/>
      <w:pPr>
        <w:ind w:left="1080" w:hanging="360"/>
      </w:pPr>
      <w:rPr>
        <w:rFonts w:ascii="Symbol" w:hAnsi="Symbol"/>
      </w:rPr>
    </w:lvl>
    <w:lvl w:ilvl="5" w:tplc="1BE6A972">
      <w:start w:val="1"/>
      <w:numFmt w:val="bullet"/>
      <w:lvlText w:val=""/>
      <w:lvlJc w:val="left"/>
      <w:pPr>
        <w:ind w:left="1080" w:hanging="360"/>
      </w:pPr>
      <w:rPr>
        <w:rFonts w:ascii="Symbol" w:hAnsi="Symbol"/>
      </w:rPr>
    </w:lvl>
    <w:lvl w:ilvl="6" w:tplc="1604E65C">
      <w:start w:val="1"/>
      <w:numFmt w:val="bullet"/>
      <w:lvlText w:val=""/>
      <w:lvlJc w:val="left"/>
      <w:pPr>
        <w:ind w:left="1080" w:hanging="360"/>
      </w:pPr>
      <w:rPr>
        <w:rFonts w:ascii="Symbol" w:hAnsi="Symbol"/>
      </w:rPr>
    </w:lvl>
    <w:lvl w:ilvl="7" w:tplc="E78ED62E">
      <w:start w:val="1"/>
      <w:numFmt w:val="bullet"/>
      <w:lvlText w:val=""/>
      <w:lvlJc w:val="left"/>
      <w:pPr>
        <w:ind w:left="1080" w:hanging="360"/>
      </w:pPr>
      <w:rPr>
        <w:rFonts w:ascii="Symbol" w:hAnsi="Symbol"/>
      </w:rPr>
    </w:lvl>
    <w:lvl w:ilvl="8" w:tplc="615C99E2">
      <w:start w:val="1"/>
      <w:numFmt w:val="bullet"/>
      <w:lvlText w:val=""/>
      <w:lvlJc w:val="left"/>
      <w:pPr>
        <w:ind w:left="1080" w:hanging="360"/>
      </w:pPr>
      <w:rPr>
        <w:rFonts w:ascii="Symbol" w:hAnsi="Symbol"/>
      </w:rPr>
    </w:lvl>
  </w:abstractNum>
  <w:abstractNum w:abstractNumId="12" w15:restartNumberingAfterBreak="0">
    <w:nsid w:val="0A59389B"/>
    <w:multiLevelType w:val="multilevel"/>
    <w:tmpl w:val="C68C79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B865571"/>
    <w:multiLevelType w:val="hybridMultilevel"/>
    <w:tmpl w:val="4A32DFB8"/>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DB0400F"/>
    <w:multiLevelType w:val="hybridMultilevel"/>
    <w:tmpl w:val="61FC987C"/>
    <w:lvl w:ilvl="0" w:tplc="3D24E450">
      <w:start w:val="1"/>
      <w:numFmt w:val="bullet"/>
      <w:lvlText w:val=""/>
      <w:lvlJc w:val="left"/>
      <w:pPr>
        <w:ind w:left="1080" w:hanging="360"/>
      </w:pPr>
      <w:rPr>
        <w:rFonts w:ascii="Symbol" w:hAnsi="Symbol"/>
      </w:rPr>
    </w:lvl>
    <w:lvl w:ilvl="1" w:tplc="635AF810">
      <w:start w:val="1"/>
      <w:numFmt w:val="bullet"/>
      <w:lvlText w:val=""/>
      <w:lvlJc w:val="left"/>
      <w:pPr>
        <w:ind w:left="1080" w:hanging="360"/>
      </w:pPr>
      <w:rPr>
        <w:rFonts w:ascii="Symbol" w:hAnsi="Symbol"/>
      </w:rPr>
    </w:lvl>
    <w:lvl w:ilvl="2" w:tplc="12825EE8">
      <w:start w:val="1"/>
      <w:numFmt w:val="bullet"/>
      <w:lvlText w:val=""/>
      <w:lvlJc w:val="left"/>
      <w:pPr>
        <w:ind w:left="1080" w:hanging="360"/>
      </w:pPr>
      <w:rPr>
        <w:rFonts w:ascii="Symbol" w:hAnsi="Symbol"/>
      </w:rPr>
    </w:lvl>
    <w:lvl w:ilvl="3" w:tplc="73C013C4">
      <w:start w:val="1"/>
      <w:numFmt w:val="bullet"/>
      <w:lvlText w:val=""/>
      <w:lvlJc w:val="left"/>
      <w:pPr>
        <w:ind w:left="1080" w:hanging="360"/>
      </w:pPr>
      <w:rPr>
        <w:rFonts w:ascii="Symbol" w:hAnsi="Symbol"/>
      </w:rPr>
    </w:lvl>
    <w:lvl w:ilvl="4" w:tplc="BB54203C">
      <w:start w:val="1"/>
      <w:numFmt w:val="bullet"/>
      <w:lvlText w:val=""/>
      <w:lvlJc w:val="left"/>
      <w:pPr>
        <w:ind w:left="1080" w:hanging="360"/>
      </w:pPr>
      <w:rPr>
        <w:rFonts w:ascii="Symbol" w:hAnsi="Symbol"/>
      </w:rPr>
    </w:lvl>
    <w:lvl w:ilvl="5" w:tplc="037AB7DA">
      <w:start w:val="1"/>
      <w:numFmt w:val="bullet"/>
      <w:lvlText w:val=""/>
      <w:lvlJc w:val="left"/>
      <w:pPr>
        <w:ind w:left="1080" w:hanging="360"/>
      </w:pPr>
      <w:rPr>
        <w:rFonts w:ascii="Symbol" w:hAnsi="Symbol"/>
      </w:rPr>
    </w:lvl>
    <w:lvl w:ilvl="6" w:tplc="B4A80D3C">
      <w:start w:val="1"/>
      <w:numFmt w:val="bullet"/>
      <w:lvlText w:val=""/>
      <w:lvlJc w:val="left"/>
      <w:pPr>
        <w:ind w:left="1080" w:hanging="360"/>
      </w:pPr>
      <w:rPr>
        <w:rFonts w:ascii="Symbol" w:hAnsi="Symbol"/>
      </w:rPr>
    </w:lvl>
    <w:lvl w:ilvl="7" w:tplc="12C694AC">
      <w:start w:val="1"/>
      <w:numFmt w:val="bullet"/>
      <w:lvlText w:val=""/>
      <w:lvlJc w:val="left"/>
      <w:pPr>
        <w:ind w:left="1080" w:hanging="360"/>
      </w:pPr>
      <w:rPr>
        <w:rFonts w:ascii="Symbol" w:hAnsi="Symbol"/>
      </w:rPr>
    </w:lvl>
    <w:lvl w:ilvl="8" w:tplc="261A15C6">
      <w:start w:val="1"/>
      <w:numFmt w:val="bullet"/>
      <w:lvlText w:val=""/>
      <w:lvlJc w:val="left"/>
      <w:pPr>
        <w:ind w:left="1080" w:hanging="360"/>
      </w:pPr>
      <w:rPr>
        <w:rFonts w:ascii="Symbol" w:hAnsi="Symbol"/>
      </w:rPr>
    </w:lvl>
  </w:abstractNum>
  <w:abstractNum w:abstractNumId="15" w15:restartNumberingAfterBreak="0">
    <w:nsid w:val="0E410772"/>
    <w:multiLevelType w:val="multilevel"/>
    <w:tmpl w:val="AD8A0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EFD3913"/>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4CE55E3"/>
    <w:multiLevelType w:val="hybridMultilevel"/>
    <w:tmpl w:val="FFF4CF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5DD7D42"/>
    <w:multiLevelType w:val="multilevel"/>
    <w:tmpl w:val="3B629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66E38EC"/>
    <w:multiLevelType w:val="hybridMultilevel"/>
    <w:tmpl w:val="F0826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69E6671"/>
    <w:multiLevelType w:val="hybridMultilevel"/>
    <w:tmpl w:val="ADEEF3B2"/>
    <w:lvl w:ilvl="0" w:tplc="14D81F4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7246514"/>
    <w:multiLevelType w:val="hybridMultilevel"/>
    <w:tmpl w:val="F8020916"/>
    <w:lvl w:ilvl="0" w:tplc="F35821B6">
      <w:start w:val="1"/>
      <w:numFmt w:val="bullet"/>
      <w:lvlText w:val=""/>
      <w:lvlJc w:val="left"/>
      <w:pPr>
        <w:ind w:left="1080" w:hanging="360"/>
      </w:pPr>
      <w:rPr>
        <w:rFonts w:ascii="Symbol" w:hAnsi="Symbol"/>
      </w:rPr>
    </w:lvl>
    <w:lvl w:ilvl="1" w:tplc="C234ED06">
      <w:start w:val="1"/>
      <w:numFmt w:val="bullet"/>
      <w:lvlText w:val=""/>
      <w:lvlJc w:val="left"/>
      <w:pPr>
        <w:ind w:left="1080" w:hanging="360"/>
      </w:pPr>
      <w:rPr>
        <w:rFonts w:ascii="Symbol" w:hAnsi="Symbol"/>
      </w:rPr>
    </w:lvl>
    <w:lvl w:ilvl="2" w:tplc="98F68E0A">
      <w:start w:val="1"/>
      <w:numFmt w:val="bullet"/>
      <w:lvlText w:val=""/>
      <w:lvlJc w:val="left"/>
      <w:pPr>
        <w:ind w:left="1080" w:hanging="360"/>
      </w:pPr>
      <w:rPr>
        <w:rFonts w:ascii="Symbol" w:hAnsi="Symbol"/>
      </w:rPr>
    </w:lvl>
    <w:lvl w:ilvl="3" w:tplc="B67889AA">
      <w:start w:val="1"/>
      <w:numFmt w:val="bullet"/>
      <w:lvlText w:val=""/>
      <w:lvlJc w:val="left"/>
      <w:pPr>
        <w:ind w:left="1080" w:hanging="360"/>
      </w:pPr>
      <w:rPr>
        <w:rFonts w:ascii="Symbol" w:hAnsi="Symbol"/>
      </w:rPr>
    </w:lvl>
    <w:lvl w:ilvl="4" w:tplc="CBFC19E6">
      <w:start w:val="1"/>
      <w:numFmt w:val="bullet"/>
      <w:lvlText w:val=""/>
      <w:lvlJc w:val="left"/>
      <w:pPr>
        <w:ind w:left="1080" w:hanging="360"/>
      </w:pPr>
      <w:rPr>
        <w:rFonts w:ascii="Symbol" w:hAnsi="Symbol"/>
      </w:rPr>
    </w:lvl>
    <w:lvl w:ilvl="5" w:tplc="D5DCEE3A">
      <w:start w:val="1"/>
      <w:numFmt w:val="bullet"/>
      <w:lvlText w:val=""/>
      <w:lvlJc w:val="left"/>
      <w:pPr>
        <w:ind w:left="1080" w:hanging="360"/>
      </w:pPr>
      <w:rPr>
        <w:rFonts w:ascii="Symbol" w:hAnsi="Symbol"/>
      </w:rPr>
    </w:lvl>
    <w:lvl w:ilvl="6" w:tplc="EB10698E">
      <w:start w:val="1"/>
      <w:numFmt w:val="bullet"/>
      <w:lvlText w:val=""/>
      <w:lvlJc w:val="left"/>
      <w:pPr>
        <w:ind w:left="1080" w:hanging="360"/>
      </w:pPr>
      <w:rPr>
        <w:rFonts w:ascii="Symbol" w:hAnsi="Symbol"/>
      </w:rPr>
    </w:lvl>
    <w:lvl w:ilvl="7" w:tplc="F6DCE614">
      <w:start w:val="1"/>
      <w:numFmt w:val="bullet"/>
      <w:lvlText w:val=""/>
      <w:lvlJc w:val="left"/>
      <w:pPr>
        <w:ind w:left="1080" w:hanging="360"/>
      </w:pPr>
      <w:rPr>
        <w:rFonts w:ascii="Symbol" w:hAnsi="Symbol"/>
      </w:rPr>
    </w:lvl>
    <w:lvl w:ilvl="8" w:tplc="20748C58">
      <w:start w:val="1"/>
      <w:numFmt w:val="bullet"/>
      <w:lvlText w:val=""/>
      <w:lvlJc w:val="left"/>
      <w:pPr>
        <w:ind w:left="1080" w:hanging="360"/>
      </w:pPr>
      <w:rPr>
        <w:rFonts w:ascii="Symbol" w:hAnsi="Symbol"/>
      </w:rPr>
    </w:lvl>
  </w:abstractNum>
  <w:abstractNum w:abstractNumId="22" w15:restartNumberingAfterBreak="0">
    <w:nsid w:val="17E55C95"/>
    <w:multiLevelType w:val="hybridMultilevel"/>
    <w:tmpl w:val="FEFE1B90"/>
    <w:lvl w:ilvl="0" w:tplc="BB08D00A">
      <w:start w:val="1"/>
      <w:numFmt w:val="bullet"/>
      <w:lvlText w:val=""/>
      <w:lvlJc w:val="left"/>
      <w:pPr>
        <w:ind w:left="1080" w:hanging="360"/>
      </w:pPr>
      <w:rPr>
        <w:rFonts w:ascii="Symbol" w:hAnsi="Symbol"/>
      </w:rPr>
    </w:lvl>
    <w:lvl w:ilvl="1" w:tplc="A2286BF8">
      <w:start w:val="1"/>
      <w:numFmt w:val="bullet"/>
      <w:lvlText w:val=""/>
      <w:lvlJc w:val="left"/>
      <w:pPr>
        <w:ind w:left="1080" w:hanging="360"/>
      </w:pPr>
      <w:rPr>
        <w:rFonts w:ascii="Symbol" w:hAnsi="Symbol"/>
      </w:rPr>
    </w:lvl>
    <w:lvl w:ilvl="2" w:tplc="8B0839C6">
      <w:start w:val="1"/>
      <w:numFmt w:val="bullet"/>
      <w:lvlText w:val=""/>
      <w:lvlJc w:val="left"/>
      <w:pPr>
        <w:ind w:left="1080" w:hanging="360"/>
      </w:pPr>
      <w:rPr>
        <w:rFonts w:ascii="Symbol" w:hAnsi="Symbol"/>
      </w:rPr>
    </w:lvl>
    <w:lvl w:ilvl="3" w:tplc="AD0AECC2">
      <w:start w:val="1"/>
      <w:numFmt w:val="bullet"/>
      <w:lvlText w:val=""/>
      <w:lvlJc w:val="left"/>
      <w:pPr>
        <w:ind w:left="1080" w:hanging="360"/>
      </w:pPr>
      <w:rPr>
        <w:rFonts w:ascii="Symbol" w:hAnsi="Symbol"/>
      </w:rPr>
    </w:lvl>
    <w:lvl w:ilvl="4" w:tplc="93F239EE">
      <w:start w:val="1"/>
      <w:numFmt w:val="bullet"/>
      <w:lvlText w:val=""/>
      <w:lvlJc w:val="left"/>
      <w:pPr>
        <w:ind w:left="1080" w:hanging="360"/>
      </w:pPr>
      <w:rPr>
        <w:rFonts w:ascii="Symbol" w:hAnsi="Symbol"/>
      </w:rPr>
    </w:lvl>
    <w:lvl w:ilvl="5" w:tplc="EBB2D168">
      <w:start w:val="1"/>
      <w:numFmt w:val="bullet"/>
      <w:lvlText w:val=""/>
      <w:lvlJc w:val="left"/>
      <w:pPr>
        <w:ind w:left="1080" w:hanging="360"/>
      </w:pPr>
      <w:rPr>
        <w:rFonts w:ascii="Symbol" w:hAnsi="Symbol"/>
      </w:rPr>
    </w:lvl>
    <w:lvl w:ilvl="6" w:tplc="38162E9C">
      <w:start w:val="1"/>
      <w:numFmt w:val="bullet"/>
      <w:lvlText w:val=""/>
      <w:lvlJc w:val="left"/>
      <w:pPr>
        <w:ind w:left="1080" w:hanging="360"/>
      </w:pPr>
      <w:rPr>
        <w:rFonts w:ascii="Symbol" w:hAnsi="Symbol"/>
      </w:rPr>
    </w:lvl>
    <w:lvl w:ilvl="7" w:tplc="9DC418F0">
      <w:start w:val="1"/>
      <w:numFmt w:val="bullet"/>
      <w:lvlText w:val=""/>
      <w:lvlJc w:val="left"/>
      <w:pPr>
        <w:ind w:left="1080" w:hanging="360"/>
      </w:pPr>
      <w:rPr>
        <w:rFonts w:ascii="Symbol" w:hAnsi="Symbol"/>
      </w:rPr>
    </w:lvl>
    <w:lvl w:ilvl="8" w:tplc="F572CD14">
      <w:start w:val="1"/>
      <w:numFmt w:val="bullet"/>
      <w:lvlText w:val=""/>
      <w:lvlJc w:val="left"/>
      <w:pPr>
        <w:ind w:left="1080" w:hanging="360"/>
      </w:pPr>
      <w:rPr>
        <w:rFonts w:ascii="Symbol" w:hAnsi="Symbol"/>
      </w:rPr>
    </w:lvl>
  </w:abstractNum>
  <w:abstractNum w:abstractNumId="23" w15:restartNumberingAfterBreak="0">
    <w:nsid w:val="1A3810F8"/>
    <w:multiLevelType w:val="hybridMultilevel"/>
    <w:tmpl w:val="6DBE9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3024ED"/>
    <w:multiLevelType w:val="multilevel"/>
    <w:tmpl w:val="8676E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F8E315D"/>
    <w:multiLevelType w:val="multilevel"/>
    <w:tmpl w:val="F6F26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FA1259D"/>
    <w:multiLevelType w:val="multilevel"/>
    <w:tmpl w:val="41D27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1881E8F"/>
    <w:multiLevelType w:val="multilevel"/>
    <w:tmpl w:val="F128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1A8512B"/>
    <w:multiLevelType w:val="hybridMultilevel"/>
    <w:tmpl w:val="093A6DC8"/>
    <w:lvl w:ilvl="0" w:tplc="9F5C1F7A">
      <w:start w:val="1"/>
      <w:numFmt w:val="bullet"/>
      <w:pStyle w:val="CS-IBMBullet2"/>
      <w:lvlText w:val=""/>
      <w:lvlJc w:val="left"/>
      <w:pPr>
        <w:ind w:left="717" w:hanging="360"/>
      </w:pPr>
      <w:rPr>
        <w:rFonts w:ascii="Symbol" w:hAnsi="Symbol" w:hint="default"/>
        <w:color w:val="000000" w:themeColor="text1"/>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9" w15:restartNumberingAfterBreak="0">
    <w:nsid w:val="241D1F64"/>
    <w:multiLevelType w:val="hybridMultilevel"/>
    <w:tmpl w:val="D9AC2370"/>
    <w:lvl w:ilvl="0" w:tplc="14D81F46">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0" w15:restartNumberingAfterBreak="0">
    <w:nsid w:val="26105FC0"/>
    <w:multiLevelType w:val="multilevel"/>
    <w:tmpl w:val="3634E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92F3529"/>
    <w:multiLevelType w:val="multilevel"/>
    <w:tmpl w:val="440CF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C9622B8"/>
    <w:multiLevelType w:val="hybridMultilevel"/>
    <w:tmpl w:val="49DC03A6"/>
    <w:lvl w:ilvl="0" w:tplc="3D36B8BC">
      <w:start w:val="1"/>
      <w:numFmt w:val="bullet"/>
      <w:pStyle w:val="CS-IBMCoverLetter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9246D"/>
    <w:multiLevelType w:val="multilevel"/>
    <w:tmpl w:val="8676E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E92438C"/>
    <w:multiLevelType w:val="hybridMultilevel"/>
    <w:tmpl w:val="CF601D26"/>
    <w:lvl w:ilvl="0" w:tplc="25C67A2E">
      <w:start w:val="1"/>
      <w:numFmt w:val="bullet"/>
      <w:pStyle w:val="CS-RFPBullet4"/>
      <w:lvlText w:val=""/>
      <w:lvlJc w:val="left"/>
      <w:pPr>
        <w:ind w:left="1437"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F092127"/>
    <w:multiLevelType w:val="hybridMultilevel"/>
    <w:tmpl w:val="6AEEB4F8"/>
    <w:lvl w:ilvl="0" w:tplc="1BBC45FC">
      <w:start w:val="1"/>
      <w:numFmt w:val="bullet"/>
      <w:pStyle w:val="CS-RFPBullet5"/>
      <w:lvlText w:val=""/>
      <w:lvlJc w:val="left"/>
      <w:pPr>
        <w:ind w:left="1800" w:hanging="360"/>
      </w:pPr>
      <w:rPr>
        <w:rFonts w:ascii="Wingdings" w:hAnsi="Wingdings" w:hint="default"/>
        <w:b w:val="0"/>
        <w:i w:val="0"/>
        <w:sz w:val="21"/>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15:restartNumberingAfterBreak="0">
    <w:nsid w:val="3032384E"/>
    <w:multiLevelType w:val="hybridMultilevel"/>
    <w:tmpl w:val="7FE87028"/>
    <w:lvl w:ilvl="0" w:tplc="4822B60E">
      <w:start w:val="1"/>
      <w:numFmt w:val="bullet"/>
      <w:lvlText w:val=""/>
      <w:lvlJc w:val="left"/>
      <w:pPr>
        <w:ind w:left="1080" w:hanging="360"/>
      </w:pPr>
      <w:rPr>
        <w:rFonts w:ascii="Symbol" w:hAnsi="Symbol"/>
      </w:rPr>
    </w:lvl>
    <w:lvl w:ilvl="1" w:tplc="D9063CC8">
      <w:start w:val="1"/>
      <w:numFmt w:val="bullet"/>
      <w:lvlText w:val=""/>
      <w:lvlJc w:val="left"/>
      <w:pPr>
        <w:ind w:left="1080" w:hanging="360"/>
      </w:pPr>
      <w:rPr>
        <w:rFonts w:ascii="Symbol" w:hAnsi="Symbol"/>
      </w:rPr>
    </w:lvl>
    <w:lvl w:ilvl="2" w:tplc="0E043506">
      <w:start w:val="1"/>
      <w:numFmt w:val="bullet"/>
      <w:lvlText w:val=""/>
      <w:lvlJc w:val="left"/>
      <w:pPr>
        <w:ind w:left="1080" w:hanging="360"/>
      </w:pPr>
      <w:rPr>
        <w:rFonts w:ascii="Symbol" w:hAnsi="Symbol"/>
      </w:rPr>
    </w:lvl>
    <w:lvl w:ilvl="3" w:tplc="7034FCC4">
      <w:start w:val="1"/>
      <w:numFmt w:val="bullet"/>
      <w:lvlText w:val=""/>
      <w:lvlJc w:val="left"/>
      <w:pPr>
        <w:ind w:left="1080" w:hanging="360"/>
      </w:pPr>
      <w:rPr>
        <w:rFonts w:ascii="Symbol" w:hAnsi="Symbol"/>
      </w:rPr>
    </w:lvl>
    <w:lvl w:ilvl="4" w:tplc="84D8EDD4">
      <w:start w:val="1"/>
      <w:numFmt w:val="bullet"/>
      <w:lvlText w:val=""/>
      <w:lvlJc w:val="left"/>
      <w:pPr>
        <w:ind w:left="1080" w:hanging="360"/>
      </w:pPr>
      <w:rPr>
        <w:rFonts w:ascii="Symbol" w:hAnsi="Symbol"/>
      </w:rPr>
    </w:lvl>
    <w:lvl w:ilvl="5" w:tplc="A818095A">
      <w:start w:val="1"/>
      <w:numFmt w:val="bullet"/>
      <w:lvlText w:val=""/>
      <w:lvlJc w:val="left"/>
      <w:pPr>
        <w:ind w:left="1080" w:hanging="360"/>
      </w:pPr>
      <w:rPr>
        <w:rFonts w:ascii="Symbol" w:hAnsi="Symbol"/>
      </w:rPr>
    </w:lvl>
    <w:lvl w:ilvl="6" w:tplc="4662824A">
      <w:start w:val="1"/>
      <w:numFmt w:val="bullet"/>
      <w:lvlText w:val=""/>
      <w:lvlJc w:val="left"/>
      <w:pPr>
        <w:ind w:left="1080" w:hanging="360"/>
      </w:pPr>
      <w:rPr>
        <w:rFonts w:ascii="Symbol" w:hAnsi="Symbol"/>
      </w:rPr>
    </w:lvl>
    <w:lvl w:ilvl="7" w:tplc="CC4044FE">
      <w:start w:val="1"/>
      <w:numFmt w:val="bullet"/>
      <w:lvlText w:val=""/>
      <w:lvlJc w:val="left"/>
      <w:pPr>
        <w:ind w:left="1080" w:hanging="360"/>
      </w:pPr>
      <w:rPr>
        <w:rFonts w:ascii="Symbol" w:hAnsi="Symbol"/>
      </w:rPr>
    </w:lvl>
    <w:lvl w:ilvl="8" w:tplc="340E5120">
      <w:start w:val="1"/>
      <w:numFmt w:val="bullet"/>
      <w:lvlText w:val=""/>
      <w:lvlJc w:val="left"/>
      <w:pPr>
        <w:ind w:left="1080" w:hanging="360"/>
      </w:pPr>
      <w:rPr>
        <w:rFonts w:ascii="Symbol" w:hAnsi="Symbol"/>
      </w:rPr>
    </w:lvl>
  </w:abstractNum>
  <w:abstractNum w:abstractNumId="37" w15:restartNumberingAfterBreak="0">
    <w:nsid w:val="33C377AF"/>
    <w:multiLevelType w:val="multilevel"/>
    <w:tmpl w:val="694CE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5EC5DCB"/>
    <w:multiLevelType w:val="hybridMultilevel"/>
    <w:tmpl w:val="F2AA1800"/>
    <w:lvl w:ilvl="0" w:tplc="0E3EB8B4">
      <w:start w:val="1"/>
      <w:numFmt w:val="bullet"/>
      <w:pStyle w:val="CS-IBMBullet5"/>
      <w:lvlText w:val=""/>
      <w:lvlJc w:val="left"/>
      <w:pPr>
        <w:ind w:left="1794" w:hanging="360"/>
      </w:pPr>
      <w:rPr>
        <w:rFonts w:ascii="Wingdings" w:hAnsi="Wingdings" w:hint="default"/>
      </w:rPr>
    </w:lvl>
    <w:lvl w:ilvl="1" w:tplc="34090003" w:tentative="1">
      <w:start w:val="1"/>
      <w:numFmt w:val="bullet"/>
      <w:lvlText w:val="o"/>
      <w:lvlJc w:val="left"/>
      <w:pPr>
        <w:ind w:left="2514" w:hanging="360"/>
      </w:pPr>
      <w:rPr>
        <w:rFonts w:ascii="Courier New" w:hAnsi="Courier New" w:cs="Courier New" w:hint="default"/>
      </w:rPr>
    </w:lvl>
    <w:lvl w:ilvl="2" w:tplc="34090005" w:tentative="1">
      <w:start w:val="1"/>
      <w:numFmt w:val="bullet"/>
      <w:lvlText w:val=""/>
      <w:lvlJc w:val="left"/>
      <w:pPr>
        <w:ind w:left="3234" w:hanging="360"/>
      </w:pPr>
      <w:rPr>
        <w:rFonts w:ascii="Wingdings" w:hAnsi="Wingdings" w:hint="default"/>
      </w:rPr>
    </w:lvl>
    <w:lvl w:ilvl="3" w:tplc="34090001" w:tentative="1">
      <w:start w:val="1"/>
      <w:numFmt w:val="bullet"/>
      <w:lvlText w:val=""/>
      <w:lvlJc w:val="left"/>
      <w:pPr>
        <w:ind w:left="3954" w:hanging="360"/>
      </w:pPr>
      <w:rPr>
        <w:rFonts w:ascii="Symbol" w:hAnsi="Symbol" w:hint="default"/>
      </w:rPr>
    </w:lvl>
    <w:lvl w:ilvl="4" w:tplc="34090003" w:tentative="1">
      <w:start w:val="1"/>
      <w:numFmt w:val="bullet"/>
      <w:lvlText w:val="o"/>
      <w:lvlJc w:val="left"/>
      <w:pPr>
        <w:ind w:left="4674" w:hanging="360"/>
      </w:pPr>
      <w:rPr>
        <w:rFonts w:ascii="Courier New" w:hAnsi="Courier New" w:cs="Courier New" w:hint="default"/>
      </w:rPr>
    </w:lvl>
    <w:lvl w:ilvl="5" w:tplc="34090005" w:tentative="1">
      <w:start w:val="1"/>
      <w:numFmt w:val="bullet"/>
      <w:lvlText w:val=""/>
      <w:lvlJc w:val="left"/>
      <w:pPr>
        <w:ind w:left="5394" w:hanging="360"/>
      </w:pPr>
      <w:rPr>
        <w:rFonts w:ascii="Wingdings" w:hAnsi="Wingdings" w:hint="default"/>
      </w:rPr>
    </w:lvl>
    <w:lvl w:ilvl="6" w:tplc="34090001" w:tentative="1">
      <w:start w:val="1"/>
      <w:numFmt w:val="bullet"/>
      <w:lvlText w:val=""/>
      <w:lvlJc w:val="left"/>
      <w:pPr>
        <w:ind w:left="6114" w:hanging="360"/>
      </w:pPr>
      <w:rPr>
        <w:rFonts w:ascii="Symbol" w:hAnsi="Symbol" w:hint="default"/>
      </w:rPr>
    </w:lvl>
    <w:lvl w:ilvl="7" w:tplc="34090003" w:tentative="1">
      <w:start w:val="1"/>
      <w:numFmt w:val="bullet"/>
      <w:lvlText w:val="o"/>
      <w:lvlJc w:val="left"/>
      <w:pPr>
        <w:ind w:left="6834" w:hanging="360"/>
      </w:pPr>
      <w:rPr>
        <w:rFonts w:ascii="Courier New" w:hAnsi="Courier New" w:cs="Courier New" w:hint="default"/>
      </w:rPr>
    </w:lvl>
    <w:lvl w:ilvl="8" w:tplc="34090005" w:tentative="1">
      <w:start w:val="1"/>
      <w:numFmt w:val="bullet"/>
      <w:lvlText w:val=""/>
      <w:lvlJc w:val="left"/>
      <w:pPr>
        <w:ind w:left="7554" w:hanging="360"/>
      </w:pPr>
      <w:rPr>
        <w:rFonts w:ascii="Wingdings" w:hAnsi="Wingdings" w:hint="default"/>
      </w:rPr>
    </w:lvl>
  </w:abstractNum>
  <w:abstractNum w:abstractNumId="39" w15:restartNumberingAfterBreak="0">
    <w:nsid w:val="394B2491"/>
    <w:multiLevelType w:val="hybridMultilevel"/>
    <w:tmpl w:val="4C96A748"/>
    <w:lvl w:ilvl="0" w:tplc="8FFAE510">
      <w:start w:val="1"/>
      <w:numFmt w:val="bullet"/>
      <w:pStyle w:val="CS-IBMTable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B707BF9"/>
    <w:multiLevelType w:val="multilevel"/>
    <w:tmpl w:val="9CC4A4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CDE42D2"/>
    <w:multiLevelType w:val="hybridMultilevel"/>
    <w:tmpl w:val="708E5EC4"/>
    <w:lvl w:ilvl="0" w:tplc="EABA9B80">
      <w:start w:val="1"/>
      <w:numFmt w:val="bullet"/>
      <w:lvlText w:val=""/>
      <w:lvlJc w:val="left"/>
      <w:pPr>
        <w:ind w:left="1080" w:hanging="360"/>
      </w:pPr>
      <w:rPr>
        <w:rFonts w:ascii="Symbol" w:hAnsi="Symbol"/>
      </w:rPr>
    </w:lvl>
    <w:lvl w:ilvl="1" w:tplc="F53EE6A4">
      <w:start w:val="1"/>
      <w:numFmt w:val="bullet"/>
      <w:lvlText w:val=""/>
      <w:lvlJc w:val="left"/>
      <w:pPr>
        <w:ind w:left="1080" w:hanging="360"/>
      </w:pPr>
      <w:rPr>
        <w:rFonts w:ascii="Symbol" w:hAnsi="Symbol"/>
      </w:rPr>
    </w:lvl>
    <w:lvl w:ilvl="2" w:tplc="A686D9A0">
      <w:start w:val="1"/>
      <w:numFmt w:val="bullet"/>
      <w:lvlText w:val=""/>
      <w:lvlJc w:val="left"/>
      <w:pPr>
        <w:ind w:left="1080" w:hanging="360"/>
      </w:pPr>
      <w:rPr>
        <w:rFonts w:ascii="Symbol" w:hAnsi="Symbol"/>
      </w:rPr>
    </w:lvl>
    <w:lvl w:ilvl="3" w:tplc="715E9FC0">
      <w:start w:val="1"/>
      <w:numFmt w:val="bullet"/>
      <w:lvlText w:val=""/>
      <w:lvlJc w:val="left"/>
      <w:pPr>
        <w:ind w:left="1080" w:hanging="360"/>
      </w:pPr>
      <w:rPr>
        <w:rFonts w:ascii="Symbol" w:hAnsi="Symbol"/>
      </w:rPr>
    </w:lvl>
    <w:lvl w:ilvl="4" w:tplc="05D64980">
      <w:start w:val="1"/>
      <w:numFmt w:val="bullet"/>
      <w:lvlText w:val=""/>
      <w:lvlJc w:val="left"/>
      <w:pPr>
        <w:ind w:left="1080" w:hanging="360"/>
      </w:pPr>
      <w:rPr>
        <w:rFonts w:ascii="Symbol" w:hAnsi="Symbol"/>
      </w:rPr>
    </w:lvl>
    <w:lvl w:ilvl="5" w:tplc="2320E472">
      <w:start w:val="1"/>
      <w:numFmt w:val="bullet"/>
      <w:lvlText w:val=""/>
      <w:lvlJc w:val="left"/>
      <w:pPr>
        <w:ind w:left="1080" w:hanging="360"/>
      </w:pPr>
      <w:rPr>
        <w:rFonts w:ascii="Symbol" w:hAnsi="Symbol"/>
      </w:rPr>
    </w:lvl>
    <w:lvl w:ilvl="6" w:tplc="998ADEBA">
      <w:start w:val="1"/>
      <w:numFmt w:val="bullet"/>
      <w:lvlText w:val=""/>
      <w:lvlJc w:val="left"/>
      <w:pPr>
        <w:ind w:left="1080" w:hanging="360"/>
      </w:pPr>
      <w:rPr>
        <w:rFonts w:ascii="Symbol" w:hAnsi="Symbol"/>
      </w:rPr>
    </w:lvl>
    <w:lvl w:ilvl="7" w:tplc="1C44CF00">
      <w:start w:val="1"/>
      <w:numFmt w:val="bullet"/>
      <w:lvlText w:val=""/>
      <w:lvlJc w:val="left"/>
      <w:pPr>
        <w:ind w:left="1080" w:hanging="360"/>
      </w:pPr>
      <w:rPr>
        <w:rFonts w:ascii="Symbol" w:hAnsi="Symbol"/>
      </w:rPr>
    </w:lvl>
    <w:lvl w:ilvl="8" w:tplc="D69EE31C">
      <w:start w:val="1"/>
      <w:numFmt w:val="bullet"/>
      <w:lvlText w:val=""/>
      <w:lvlJc w:val="left"/>
      <w:pPr>
        <w:ind w:left="1080" w:hanging="360"/>
      </w:pPr>
      <w:rPr>
        <w:rFonts w:ascii="Symbol" w:hAnsi="Symbol"/>
      </w:rPr>
    </w:lvl>
  </w:abstractNum>
  <w:abstractNum w:abstractNumId="42" w15:restartNumberingAfterBreak="0">
    <w:nsid w:val="3E8771ED"/>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3" w15:restartNumberingAfterBreak="0">
    <w:nsid w:val="3F031B2C"/>
    <w:multiLevelType w:val="multilevel"/>
    <w:tmpl w:val="8676E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FDF1F32"/>
    <w:multiLevelType w:val="multilevel"/>
    <w:tmpl w:val="FB30E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34C707F"/>
    <w:multiLevelType w:val="hybridMultilevel"/>
    <w:tmpl w:val="5808B432"/>
    <w:lvl w:ilvl="0" w:tplc="5DA281BA">
      <w:start w:val="1"/>
      <w:numFmt w:val="bullet"/>
      <w:pStyle w:val="CS-RFPBullet2"/>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6E877E8"/>
    <w:multiLevelType w:val="multilevel"/>
    <w:tmpl w:val="9CC4A4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9C379C0"/>
    <w:multiLevelType w:val="hybridMultilevel"/>
    <w:tmpl w:val="4BAEA6EA"/>
    <w:lvl w:ilvl="0" w:tplc="6B6EC23E">
      <w:start w:val="1"/>
      <w:numFmt w:val="bullet"/>
      <w:pStyle w:val="CS-RFPBullet3"/>
      <w:lvlText w:val="o"/>
      <w:lvlJc w:val="left"/>
      <w:pPr>
        <w:ind w:left="1080" w:hanging="360"/>
      </w:pPr>
      <w:rPr>
        <w:rFonts w:ascii="Courier New" w:hAnsi="Courier New" w:cs="Courier New" w:hint="default"/>
        <w:b w:val="0"/>
        <w:i w:val="0"/>
        <w:caps w:val="0"/>
        <w:strike w:val="0"/>
        <w:dstrike w:val="0"/>
        <w:vanish w:val="0"/>
        <w:color w:val="0070C0"/>
        <w:kern w:val="0"/>
        <w:sz w:val="21"/>
        <w:u w:color="008ABF"/>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4A9F7EDD"/>
    <w:multiLevelType w:val="hybridMultilevel"/>
    <w:tmpl w:val="F46C841A"/>
    <w:lvl w:ilvl="0" w:tplc="1CF8B674">
      <w:start w:val="1"/>
      <w:numFmt w:val="bullet"/>
      <w:pStyle w:val="CS-IBMCalloutBullet"/>
      <w:lvlText w:val=""/>
      <w:lvlJc w:val="left"/>
      <w:pPr>
        <w:ind w:left="360" w:hanging="360"/>
      </w:pPr>
      <w:rPr>
        <w:rFonts w:ascii="Symbol" w:hAnsi="Symbol" w:hint="default"/>
      </w:rPr>
    </w:lvl>
    <w:lvl w:ilvl="1" w:tplc="9F865E86" w:tentative="1">
      <w:start w:val="1"/>
      <w:numFmt w:val="bullet"/>
      <w:lvlText w:val=""/>
      <w:lvlJc w:val="left"/>
      <w:pPr>
        <w:tabs>
          <w:tab w:val="num" w:pos="1440"/>
        </w:tabs>
        <w:ind w:left="1440" w:hanging="360"/>
      </w:pPr>
      <w:rPr>
        <w:rFonts w:ascii="Wingdings" w:hAnsi="Wingdings" w:hint="default"/>
      </w:rPr>
    </w:lvl>
    <w:lvl w:ilvl="2" w:tplc="A164212E" w:tentative="1">
      <w:start w:val="1"/>
      <w:numFmt w:val="bullet"/>
      <w:lvlText w:val=""/>
      <w:lvlJc w:val="left"/>
      <w:pPr>
        <w:tabs>
          <w:tab w:val="num" w:pos="2160"/>
        </w:tabs>
        <w:ind w:left="2160" w:hanging="360"/>
      </w:pPr>
      <w:rPr>
        <w:rFonts w:ascii="Wingdings" w:hAnsi="Wingdings" w:hint="default"/>
      </w:rPr>
    </w:lvl>
    <w:lvl w:ilvl="3" w:tplc="242C192A" w:tentative="1">
      <w:start w:val="1"/>
      <w:numFmt w:val="bullet"/>
      <w:lvlText w:val=""/>
      <w:lvlJc w:val="left"/>
      <w:pPr>
        <w:tabs>
          <w:tab w:val="num" w:pos="2880"/>
        </w:tabs>
        <w:ind w:left="2880" w:hanging="360"/>
      </w:pPr>
      <w:rPr>
        <w:rFonts w:ascii="Wingdings" w:hAnsi="Wingdings" w:hint="default"/>
      </w:rPr>
    </w:lvl>
    <w:lvl w:ilvl="4" w:tplc="D780F316" w:tentative="1">
      <w:start w:val="1"/>
      <w:numFmt w:val="bullet"/>
      <w:lvlText w:val=""/>
      <w:lvlJc w:val="left"/>
      <w:pPr>
        <w:tabs>
          <w:tab w:val="num" w:pos="3600"/>
        </w:tabs>
        <w:ind w:left="3600" w:hanging="360"/>
      </w:pPr>
      <w:rPr>
        <w:rFonts w:ascii="Wingdings" w:hAnsi="Wingdings" w:hint="default"/>
      </w:rPr>
    </w:lvl>
    <w:lvl w:ilvl="5" w:tplc="35B84D92" w:tentative="1">
      <w:start w:val="1"/>
      <w:numFmt w:val="bullet"/>
      <w:lvlText w:val=""/>
      <w:lvlJc w:val="left"/>
      <w:pPr>
        <w:tabs>
          <w:tab w:val="num" w:pos="4320"/>
        </w:tabs>
        <w:ind w:left="4320" w:hanging="360"/>
      </w:pPr>
      <w:rPr>
        <w:rFonts w:ascii="Wingdings" w:hAnsi="Wingdings" w:hint="default"/>
      </w:rPr>
    </w:lvl>
    <w:lvl w:ilvl="6" w:tplc="2B3875EA" w:tentative="1">
      <w:start w:val="1"/>
      <w:numFmt w:val="bullet"/>
      <w:lvlText w:val=""/>
      <w:lvlJc w:val="left"/>
      <w:pPr>
        <w:tabs>
          <w:tab w:val="num" w:pos="5040"/>
        </w:tabs>
        <w:ind w:left="5040" w:hanging="360"/>
      </w:pPr>
      <w:rPr>
        <w:rFonts w:ascii="Wingdings" w:hAnsi="Wingdings" w:hint="default"/>
      </w:rPr>
    </w:lvl>
    <w:lvl w:ilvl="7" w:tplc="F46EAF34" w:tentative="1">
      <w:start w:val="1"/>
      <w:numFmt w:val="bullet"/>
      <w:lvlText w:val=""/>
      <w:lvlJc w:val="left"/>
      <w:pPr>
        <w:tabs>
          <w:tab w:val="num" w:pos="5760"/>
        </w:tabs>
        <w:ind w:left="5760" w:hanging="360"/>
      </w:pPr>
      <w:rPr>
        <w:rFonts w:ascii="Wingdings" w:hAnsi="Wingdings" w:hint="default"/>
      </w:rPr>
    </w:lvl>
    <w:lvl w:ilvl="8" w:tplc="0040D2D0"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B831ABC"/>
    <w:multiLevelType w:val="hybridMultilevel"/>
    <w:tmpl w:val="C074AA02"/>
    <w:lvl w:ilvl="0" w:tplc="A0462CCE">
      <w:start w:val="1"/>
      <w:numFmt w:val="bullet"/>
      <w:lvlText w:val=""/>
      <w:lvlJc w:val="left"/>
      <w:pPr>
        <w:ind w:left="1080" w:hanging="360"/>
      </w:pPr>
      <w:rPr>
        <w:rFonts w:ascii="Symbol" w:hAnsi="Symbol"/>
      </w:rPr>
    </w:lvl>
    <w:lvl w:ilvl="1" w:tplc="50901C3E">
      <w:start w:val="1"/>
      <w:numFmt w:val="bullet"/>
      <w:lvlText w:val=""/>
      <w:lvlJc w:val="left"/>
      <w:pPr>
        <w:ind w:left="1080" w:hanging="360"/>
      </w:pPr>
      <w:rPr>
        <w:rFonts w:ascii="Symbol" w:hAnsi="Symbol"/>
      </w:rPr>
    </w:lvl>
    <w:lvl w:ilvl="2" w:tplc="C97AD7FA">
      <w:start w:val="1"/>
      <w:numFmt w:val="bullet"/>
      <w:lvlText w:val=""/>
      <w:lvlJc w:val="left"/>
      <w:pPr>
        <w:ind w:left="1080" w:hanging="360"/>
      </w:pPr>
      <w:rPr>
        <w:rFonts w:ascii="Symbol" w:hAnsi="Symbol"/>
      </w:rPr>
    </w:lvl>
    <w:lvl w:ilvl="3" w:tplc="1D14DB20">
      <w:start w:val="1"/>
      <w:numFmt w:val="bullet"/>
      <w:lvlText w:val=""/>
      <w:lvlJc w:val="left"/>
      <w:pPr>
        <w:ind w:left="1080" w:hanging="360"/>
      </w:pPr>
      <w:rPr>
        <w:rFonts w:ascii="Symbol" w:hAnsi="Symbol"/>
      </w:rPr>
    </w:lvl>
    <w:lvl w:ilvl="4" w:tplc="D340E5B2">
      <w:start w:val="1"/>
      <w:numFmt w:val="bullet"/>
      <w:lvlText w:val=""/>
      <w:lvlJc w:val="left"/>
      <w:pPr>
        <w:ind w:left="1080" w:hanging="360"/>
      </w:pPr>
      <w:rPr>
        <w:rFonts w:ascii="Symbol" w:hAnsi="Symbol"/>
      </w:rPr>
    </w:lvl>
    <w:lvl w:ilvl="5" w:tplc="8D961A1C">
      <w:start w:val="1"/>
      <w:numFmt w:val="bullet"/>
      <w:lvlText w:val=""/>
      <w:lvlJc w:val="left"/>
      <w:pPr>
        <w:ind w:left="1080" w:hanging="360"/>
      </w:pPr>
      <w:rPr>
        <w:rFonts w:ascii="Symbol" w:hAnsi="Symbol"/>
      </w:rPr>
    </w:lvl>
    <w:lvl w:ilvl="6" w:tplc="E9C4C6F2">
      <w:start w:val="1"/>
      <w:numFmt w:val="bullet"/>
      <w:lvlText w:val=""/>
      <w:lvlJc w:val="left"/>
      <w:pPr>
        <w:ind w:left="1080" w:hanging="360"/>
      </w:pPr>
      <w:rPr>
        <w:rFonts w:ascii="Symbol" w:hAnsi="Symbol"/>
      </w:rPr>
    </w:lvl>
    <w:lvl w:ilvl="7" w:tplc="D55A899E">
      <w:start w:val="1"/>
      <w:numFmt w:val="bullet"/>
      <w:lvlText w:val=""/>
      <w:lvlJc w:val="left"/>
      <w:pPr>
        <w:ind w:left="1080" w:hanging="360"/>
      </w:pPr>
      <w:rPr>
        <w:rFonts w:ascii="Symbol" w:hAnsi="Symbol"/>
      </w:rPr>
    </w:lvl>
    <w:lvl w:ilvl="8" w:tplc="EE26B8DC">
      <w:start w:val="1"/>
      <w:numFmt w:val="bullet"/>
      <w:lvlText w:val=""/>
      <w:lvlJc w:val="left"/>
      <w:pPr>
        <w:ind w:left="1080" w:hanging="360"/>
      </w:pPr>
      <w:rPr>
        <w:rFonts w:ascii="Symbol" w:hAnsi="Symbol"/>
      </w:rPr>
    </w:lvl>
  </w:abstractNum>
  <w:abstractNum w:abstractNumId="50" w15:restartNumberingAfterBreak="0">
    <w:nsid w:val="4EBC5A02"/>
    <w:multiLevelType w:val="hybridMultilevel"/>
    <w:tmpl w:val="EAF41A8C"/>
    <w:lvl w:ilvl="0" w:tplc="FE2462C0">
      <w:start w:val="1"/>
      <w:numFmt w:val="bullet"/>
      <w:pStyle w:val="CS-RFPBullet1"/>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2153D23"/>
    <w:multiLevelType w:val="hybridMultilevel"/>
    <w:tmpl w:val="50DECCD8"/>
    <w:lvl w:ilvl="0" w:tplc="0ADC0AAC">
      <w:start w:val="1"/>
      <w:numFmt w:val="bullet"/>
      <w:pStyle w:val="CS-IBMTableBullet3"/>
      <w:lvlText w:val="o"/>
      <w:lvlJc w:val="left"/>
      <w:pPr>
        <w:ind w:left="1434" w:hanging="360"/>
      </w:pPr>
      <w:rPr>
        <w:rFonts w:ascii="Courier New" w:hAnsi="Courier New" w:cs="Courier New"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52" w15:restartNumberingAfterBreak="0">
    <w:nsid w:val="543E10DD"/>
    <w:multiLevelType w:val="hybridMultilevel"/>
    <w:tmpl w:val="6FD6EE4C"/>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5B5A6239"/>
    <w:multiLevelType w:val="hybridMultilevel"/>
    <w:tmpl w:val="A7D4E274"/>
    <w:lvl w:ilvl="0" w:tplc="66ECEA22">
      <w:start w:val="1"/>
      <w:numFmt w:val="bullet"/>
      <w:pStyle w:val="CS-IBMBullet3"/>
      <w:lvlText w:val="o"/>
      <w:lvlJc w:val="left"/>
      <w:pPr>
        <w:ind w:left="1074" w:hanging="360"/>
      </w:pPr>
      <w:rPr>
        <w:rFonts w:ascii="Courier New" w:hAnsi="Courier New" w:cs="Courier New" w:hint="default"/>
        <w:color w:val="000000" w:themeColor="text1"/>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15:restartNumberingAfterBreak="0">
    <w:nsid w:val="5C4A4687"/>
    <w:multiLevelType w:val="hybridMultilevel"/>
    <w:tmpl w:val="C142ACE2"/>
    <w:lvl w:ilvl="0" w:tplc="D876B954">
      <w:start w:val="1"/>
      <w:numFmt w:val="bullet"/>
      <w:lvlText w:val=""/>
      <w:lvlJc w:val="left"/>
      <w:pPr>
        <w:ind w:left="1080" w:hanging="360"/>
      </w:pPr>
      <w:rPr>
        <w:rFonts w:ascii="Symbol" w:hAnsi="Symbol"/>
      </w:rPr>
    </w:lvl>
    <w:lvl w:ilvl="1" w:tplc="48ECE572">
      <w:start w:val="1"/>
      <w:numFmt w:val="bullet"/>
      <w:lvlText w:val=""/>
      <w:lvlJc w:val="left"/>
      <w:pPr>
        <w:ind w:left="1080" w:hanging="360"/>
      </w:pPr>
      <w:rPr>
        <w:rFonts w:ascii="Symbol" w:hAnsi="Symbol"/>
      </w:rPr>
    </w:lvl>
    <w:lvl w:ilvl="2" w:tplc="DDC09D06">
      <w:start w:val="1"/>
      <w:numFmt w:val="bullet"/>
      <w:lvlText w:val=""/>
      <w:lvlJc w:val="left"/>
      <w:pPr>
        <w:ind w:left="1080" w:hanging="360"/>
      </w:pPr>
      <w:rPr>
        <w:rFonts w:ascii="Symbol" w:hAnsi="Symbol"/>
      </w:rPr>
    </w:lvl>
    <w:lvl w:ilvl="3" w:tplc="90101C16">
      <w:start w:val="1"/>
      <w:numFmt w:val="bullet"/>
      <w:lvlText w:val=""/>
      <w:lvlJc w:val="left"/>
      <w:pPr>
        <w:ind w:left="1080" w:hanging="360"/>
      </w:pPr>
      <w:rPr>
        <w:rFonts w:ascii="Symbol" w:hAnsi="Symbol"/>
      </w:rPr>
    </w:lvl>
    <w:lvl w:ilvl="4" w:tplc="B7B2AD24">
      <w:start w:val="1"/>
      <w:numFmt w:val="bullet"/>
      <w:lvlText w:val=""/>
      <w:lvlJc w:val="left"/>
      <w:pPr>
        <w:ind w:left="1080" w:hanging="360"/>
      </w:pPr>
      <w:rPr>
        <w:rFonts w:ascii="Symbol" w:hAnsi="Symbol"/>
      </w:rPr>
    </w:lvl>
    <w:lvl w:ilvl="5" w:tplc="B3C63184">
      <w:start w:val="1"/>
      <w:numFmt w:val="bullet"/>
      <w:lvlText w:val=""/>
      <w:lvlJc w:val="left"/>
      <w:pPr>
        <w:ind w:left="1080" w:hanging="360"/>
      </w:pPr>
      <w:rPr>
        <w:rFonts w:ascii="Symbol" w:hAnsi="Symbol"/>
      </w:rPr>
    </w:lvl>
    <w:lvl w:ilvl="6" w:tplc="E83AB906">
      <w:start w:val="1"/>
      <w:numFmt w:val="bullet"/>
      <w:lvlText w:val=""/>
      <w:lvlJc w:val="left"/>
      <w:pPr>
        <w:ind w:left="1080" w:hanging="360"/>
      </w:pPr>
      <w:rPr>
        <w:rFonts w:ascii="Symbol" w:hAnsi="Symbol"/>
      </w:rPr>
    </w:lvl>
    <w:lvl w:ilvl="7" w:tplc="BC50EA00">
      <w:start w:val="1"/>
      <w:numFmt w:val="bullet"/>
      <w:lvlText w:val=""/>
      <w:lvlJc w:val="left"/>
      <w:pPr>
        <w:ind w:left="1080" w:hanging="360"/>
      </w:pPr>
      <w:rPr>
        <w:rFonts w:ascii="Symbol" w:hAnsi="Symbol"/>
      </w:rPr>
    </w:lvl>
    <w:lvl w:ilvl="8" w:tplc="B0D2EDE2">
      <w:start w:val="1"/>
      <w:numFmt w:val="bullet"/>
      <w:lvlText w:val=""/>
      <w:lvlJc w:val="left"/>
      <w:pPr>
        <w:ind w:left="1080" w:hanging="360"/>
      </w:pPr>
      <w:rPr>
        <w:rFonts w:ascii="Symbol" w:hAnsi="Symbol"/>
      </w:rPr>
    </w:lvl>
  </w:abstractNum>
  <w:abstractNum w:abstractNumId="55" w15:restartNumberingAfterBreak="0">
    <w:nsid w:val="5CD50EC5"/>
    <w:multiLevelType w:val="multilevel"/>
    <w:tmpl w:val="8800D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DE26DFF"/>
    <w:multiLevelType w:val="hybridMultilevel"/>
    <w:tmpl w:val="2F9CE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1472253"/>
    <w:multiLevelType w:val="multilevel"/>
    <w:tmpl w:val="23C0D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16D5471"/>
    <w:multiLevelType w:val="hybridMultilevel"/>
    <w:tmpl w:val="7ED88390"/>
    <w:lvl w:ilvl="0" w:tplc="A65CC1B2">
      <w:start w:val="1"/>
      <w:numFmt w:val="bullet"/>
      <w:lvlText w:val=""/>
      <w:lvlJc w:val="left"/>
      <w:pPr>
        <w:ind w:left="1080" w:hanging="360"/>
      </w:pPr>
      <w:rPr>
        <w:rFonts w:ascii="Symbol" w:hAnsi="Symbol"/>
      </w:rPr>
    </w:lvl>
    <w:lvl w:ilvl="1" w:tplc="70364CF6">
      <w:start w:val="1"/>
      <w:numFmt w:val="bullet"/>
      <w:lvlText w:val=""/>
      <w:lvlJc w:val="left"/>
      <w:pPr>
        <w:ind w:left="1080" w:hanging="360"/>
      </w:pPr>
      <w:rPr>
        <w:rFonts w:ascii="Symbol" w:hAnsi="Symbol"/>
      </w:rPr>
    </w:lvl>
    <w:lvl w:ilvl="2" w:tplc="E584BF02">
      <w:start w:val="1"/>
      <w:numFmt w:val="bullet"/>
      <w:lvlText w:val=""/>
      <w:lvlJc w:val="left"/>
      <w:pPr>
        <w:ind w:left="1080" w:hanging="360"/>
      </w:pPr>
      <w:rPr>
        <w:rFonts w:ascii="Symbol" w:hAnsi="Symbol"/>
      </w:rPr>
    </w:lvl>
    <w:lvl w:ilvl="3" w:tplc="2444C8F6">
      <w:start w:val="1"/>
      <w:numFmt w:val="bullet"/>
      <w:lvlText w:val=""/>
      <w:lvlJc w:val="left"/>
      <w:pPr>
        <w:ind w:left="1080" w:hanging="360"/>
      </w:pPr>
      <w:rPr>
        <w:rFonts w:ascii="Symbol" w:hAnsi="Symbol"/>
      </w:rPr>
    </w:lvl>
    <w:lvl w:ilvl="4" w:tplc="178830A0">
      <w:start w:val="1"/>
      <w:numFmt w:val="bullet"/>
      <w:lvlText w:val=""/>
      <w:lvlJc w:val="left"/>
      <w:pPr>
        <w:ind w:left="1080" w:hanging="360"/>
      </w:pPr>
      <w:rPr>
        <w:rFonts w:ascii="Symbol" w:hAnsi="Symbol"/>
      </w:rPr>
    </w:lvl>
    <w:lvl w:ilvl="5" w:tplc="BA0C08EE">
      <w:start w:val="1"/>
      <w:numFmt w:val="bullet"/>
      <w:lvlText w:val=""/>
      <w:lvlJc w:val="left"/>
      <w:pPr>
        <w:ind w:left="1080" w:hanging="360"/>
      </w:pPr>
      <w:rPr>
        <w:rFonts w:ascii="Symbol" w:hAnsi="Symbol"/>
      </w:rPr>
    </w:lvl>
    <w:lvl w:ilvl="6" w:tplc="F4EC8C5A">
      <w:start w:val="1"/>
      <w:numFmt w:val="bullet"/>
      <w:lvlText w:val=""/>
      <w:lvlJc w:val="left"/>
      <w:pPr>
        <w:ind w:left="1080" w:hanging="360"/>
      </w:pPr>
      <w:rPr>
        <w:rFonts w:ascii="Symbol" w:hAnsi="Symbol"/>
      </w:rPr>
    </w:lvl>
    <w:lvl w:ilvl="7" w:tplc="EF785116">
      <w:start w:val="1"/>
      <w:numFmt w:val="bullet"/>
      <w:lvlText w:val=""/>
      <w:lvlJc w:val="left"/>
      <w:pPr>
        <w:ind w:left="1080" w:hanging="360"/>
      </w:pPr>
      <w:rPr>
        <w:rFonts w:ascii="Symbol" w:hAnsi="Symbol"/>
      </w:rPr>
    </w:lvl>
    <w:lvl w:ilvl="8" w:tplc="3650EC52">
      <w:start w:val="1"/>
      <w:numFmt w:val="bullet"/>
      <w:lvlText w:val=""/>
      <w:lvlJc w:val="left"/>
      <w:pPr>
        <w:ind w:left="1080" w:hanging="360"/>
      </w:pPr>
      <w:rPr>
        <w:rFonts w:ascii="Symbol" w:hAnsi="Symbol"/>
      </w:rPr>
    </w:lvl>
  </w:abstractNum>
  <w:abstractNum w:abstractNumId="59" w15:restartNumberingAfterBreak="0">
    <w:nsid w:val="6208274A"/>
    <w:multiLevelType w:val="hybridMultilevel"/>
    <w:tmpl w:val="F8AC923C"/>
    <w:lvl w:ilvl="0" w:tplc="94F63536">
      <w:start w:val="1"/>
      <w:numFmt w:val="bullet"/>
      <w:lvlText w:val=""/>
      <w:lvlJc w:val="left"/>
      <w:pPr>
        <w:ind w:left="1080" w:hanging="360"/>
      </w:pPr>
      <w:rPr>
        <w:rFonts w:ascii="Symbol" w:hAnsi="Symbol"/>
      </w:rPr>
    </w:lvl>
    <w:lvl w:ilvl="1" w:tplc="A2D6608E">
      <w:start w:val="1"/>
      <w:numFmt w:val="bullet"/>
      <w:lvlText w:val=""/>
      <w:lvlJc w:val="left"/>
      <w:pPr>
        <w:ind w:left="1080" w:hanging="360"/>
      </w:pPr>
      <w:rPr>
        <w:rFonts w:ascii="Symbol" w:hAnsi="Symbol"/>
      </w:rPr>
    </w:lvl>
    <w:lvl w:ilvl="2" w:tplc="984E865E">
      <w:start w:val="1"/>
      <w:numFmt w:val="bullet"/>
      <w:lvlText w:val=""/>
      <w:lvlJc w:val="left"/>
      <w:pPr>
        <w:ind w:left="1080" w:hanging="360"/>
      </w:pPr>
      <w:rPr>
        <w:rFonts w:ascii="Symbol" w:hAnsi="Symbol"/>
      </w:rPr>
    </w:lvl>
    <w:lvl w:ilvl="3" w:tplc="3DEA9A4C">
      <w:start w:val="1"/>
      <w:numFmt w:val="bullet"/>
      <w:lvlText w:val=""/>
      <w:lvlJc w:val="left"/>
      <w:pPr>
        <w:ind w:left="1080" w:hanging="360"/>
      </w:pPr>
      <w:rPr>
        <w:rFonts w:ascii="Symbol" w:hAnsi="Symbol"/>
      </w:rPr>
    </w:lvl>
    <w:lvl w:ilvl="4" w:tplc="F0D8180A">
      <w:start w:val="1"/>
      <w:numFmt w:val="bullet"/>
      <w:lvlText w:val=""/>
      <w:lvlJc w:val="left"/>
      <w:pPr>
        <w:ind w:left="1080" w:hanging="360"/>
      </w:pPr>
      <w:rPr>
        <w:rFonts w:ascii="Symbol" w:hAnsi="Symbol"/>
      </w:rPr>
    </w:lvl>
    <w:lvl w:ilvl="5" w:tplc="B896EA04">
      <w:start w:val="1"/>
      <w:numFmt w:val="bullet"/>
      <w:lvlText w:val=""/>
      <w:lvlJc w:val="left"/>
      <w:pPr>
        <w:ind w:left="1080" w:hanging="360"/>
      </w:pPr>
      <w:rPr>
        <w:rFonts w:ascii="Symbol" w:hAnsi="Symbol"/>
      </w:rPr>
    </w:lvl>
    <w:lvl w:ilvl="6" w:tplc="50E86750">
      <w:start w:val="1"/>
      <w:numFmt w:val="bullet"/>
      <w:lvlText w:val=""/>
      <w:lvlJc w:val="left"/>
      <w:pPr>
        <w:ind w:left="1080" w:hanging="360"/>
      </w:pPr>
      <w:rPr>
        <w:rFonts w:ascii="Symbol" w:hAnsi="Symbol"/>
      </w:rPr>
    </w:lvl>
    <w:lvl w:ilvl="7" w:tplc="DD4A1A96">
      <w:start w:val="1"/>
      <w:numFmt w:val="bullet"/>
      <w:lvlText w:val=""/>
      <w:lvlJc w:val="left"/>
      <w:pPr>
        <w:ind w:left="1080" w:hanging="360"/>
      </w:pPr>
      <w:rPr>
        <w:rFonts w:ascii="Symbol" w:hAnsi="Symbol"/>
      </w:rPr>
    </w:lvl>
    <w:lvl w:ilvl="8" w:tplc="461862DE">
      <w:start w:val="1"/>
      <w:numFmt w:val="bullet"/>
      <w:lvlText w:val=""/>
      <w:lvlJc w:val="left"/>
      <w:pPr>
        <w:ind w:left="1080" w:hanging="360"/>
      </w:pPr>
      <w:rPr>
        <w:rFonts w:ascii="Symbol" w:hAnsi="Symbol"/>
      </w:rPr>
    </w:lvl>
  </w:abstractNum>
  <w:abstractNum w:abstractNumId="60" w15:restartNumberingAfterBreak="0">
    <w:nsid w:val="62791943"/>
    <w:multiLevelType w:val="hybridMultilevel"/>
    <w:tmpl w:val="B8425AAA"/>
    <w:lvl w:ilvl="0" w:tplc="14D81F4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2843187"/>
    <w:multiLevelType w:val="hybridMultilevel"/>
    <w:tmpl w:val="A39C1CA8"/>
    <w:lvl w:ilvl="0" w:tplc="14D81F46">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691E0014"/>
    <w:multiLevelType w:val="hybridMultilevel"/>
    <w:tmpl w:val="6AE8B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AAC0A0D"/>
    <w:multiLevelType w:val="hybridMultilevel"/>
    <w:tmpl w:val="94806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B6F4791"/>
    <w:multiLevelType w:val="hybridMultilevel"/>
    <w:tmpl w:val="82626864"/>
    <w:lvl w:ilvl="0" w:tplc="F6863522">
      <w:start w:val="1"/>
      <w:numFmt w:val="bullet"/>
      <w:pStyle w:val="CS-IBMBullet4"/>
      <w:lvlText w:val=""/>
      <w:lvlJc w:val="left"/>
      <w:pPr>
        <w:ind w:left="1434" w:hanging="360"/>
      </w:pPr>
      <w:rPr>
        <w:rFonts w:ascii="Wingdings" w:hAnsi="Wingdings" w:hint="default"/>
      </w:rPr>
    </w:lvl>
    <w:lvl w:ilvl="1" w:tplc="34090003" w:tentative="1">
      <w:start w:val="1"/>
      <w:numFmt w:val="bullet"/>
      <w:lvlText w:val="o"/>
      <w:lvlJc w:val="left"/>
      <w:pPr>
        <w:ind w:left="2154" w:hanging="360"/>
      </w:pPr>
      <w:rPr>
        <w:rFonts w:ascii="Courier New" w:hAnsi="Courier New" w:cs="Courier New" w:hint="default"/>
      </w:rPr>
    </w:lvl>
    <w:lvl w:ilvl="2" w:tplc="34090005" w:tentative="1">
      <w:start w:val="1"/>
      <w:numFmt w:val="bullet"/>
      <w:lvlText w:val=""/>
      <w:lvlJc w:val="left"/>
      <w:pPr>
        <w:ind w:left="2874" w:hanging="360"/>
      </w:pPr>
      <w:rPr>
        <w:rFonts w:ascii="Wingdings" w:hAnsi="Wingdings" w:hint="default"/>
      </w:rPr>
    </w:lvl>
    <w:lvl w:ilvl="3" w:tplc="34090001" w:tentative="1">
      <w:start w:val="1"/>
      <w:numFmt w:val="bullet"/>
      <w:lvlText w:val=""/>
      <w:lvlJc w:val="left"/>
      <w:pPr>
        <w:ind w:left="3594" w:hanging="360"/>
      </w:pPr>
      <w:rPr>
        <w:rFonts w:ascii="Symbol" w:hAnsi="Symbol" w:hint="default"/>
      </w:rPr>
    </w:lvl>
    <w:lvl w:ilvl="4" w:tplc="34090003" w:tentative="1">
      <w:start w:val="1"/>
      <w:numFmt w:val="bullet"/>
      <w:lvlText w:val="o"/>
      <w:lvlJc w:val="left"/>
      <w:pPr>
        <w:ind w:left="4314" w:hanging="360"/>
      </w:pPr>
      <w:rPr>
        <w:rFonts w:ascii="Courier New" w:hAnsi="Courier New" w:cs="Courier New" w:hint="default"/>
      </w:rPr>
    </w:lvl>
    <w:lvl w:ilvl="5" w:tplc="34090005" w:tentative="1">
      <w:start w:val="1"/>
      <w:numFmt w:val="bullet"/>
      <w:lvlText w:val=""/>
      <w:lvlJc w:val="left"/>
      <w:pPr>
        <w:ind w:left="5034" w:hanging="360"/>
      </w:pPr>
      <w:rPr>
        <w:rFonts w:ascii="Wingdings" w:hAnsi="Wingdings" w:hint="default"/>
      </w:rPr>
    </w:lvl>
    <w:lvl w:ilvl="6" w:tplc="34090001" w:tentative="1">
      <w:start w:val="1"/>
      <w:numFmt w:val="bullet"/>
      <w:lvlText w:val=""/>
      <w:lvlJc w:val="left"/>
      <w:pPr>
        <w:ind w:left="5754" w:hanging="360"/>
      </w:pPr>
      <w:rPr>
        <w:rFonts w:ascii="Symbol" w:hAnsi="Symbol" w:hint="default"/>
      </w:rPr>
    </w:lvl>
    <w:lvl w:ilvl="7" w:tplc="34090003" w:tentative="1">
      <w:start w:val="1"/>
      <w:numFmt w:val="bullet"/>
      <w:lvlText w:val="o"/>
      <w:lvlJc w:val="left"/>
      <w:pPr>
        <w:ind w:left="6474" w:hanging="360"/>
      </w:pPr>
      <w:rPr>
        <w:rFonts w:ascii="Courier New" w:hAnsi="Courier New" w:cs="Courier New" w:hint="default"/>
      </w:rPr>
    </w:lvl>
    <w:lvl w:ilvl="8" w:tplc="34090005" w:tentative="1">
      <w:start w:val="1"/>
      <w:numFmt w:val="bullet"/>
      <w:lvlText w:val=""/>
      <w:lvlJc w:val="left"/>
      <w:pPr>
        <w:ind w:left="7194" w:hanging="360"/>
      </w:pPr>
      <w:rPr>
        <w:rFonts w:ascii="Wingdings" w:hAnsi="Wingdings" w:hint="default"/>
      </w:rPr>
    </w:lvl>
  </w:abstractNum>
  <w:abstractNum w:abstractNumId="65" w15:restartNumberingAfterBreak="0">
    <w:nsid w:val="720B4E00"/>
    <w:multiLevelType w:val="multilevel"/>
    <w:tmpl w:val="8676E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2660E2E"/>
    <w:multiLevelType w:val="hybridMultilevel"/>
    <w:tmpl w:val="5978BCAC"/>
    <w:lvl w:ilvl="0" w:tplc="ADDA31D4">
      <w:start w:val="1"/>
      <w:numFmt w:val="bullet"/>
      <w:lvlText w:val=""/>
      <w:lvlJc w:val="left"/>
      <w:pPr>
        <w:ind w:left="1080" w:hanging="360"/>
      </w:pPr>
      <w:rPr>
        <w:rFonts w:ascii="Symbol" w:hAnsi="Symbol"/>
      </w:rPr>
    </w:lvl>
    <w:lvl w:ilvl="1" w:tplc="073A8C3C">
      <w:start w:val="1"/>
      <w:numFmt w:val="bullet"/>
      <w:lvlText w:val=""/>
      <w:lvlJc w:val="left"/>
      <w:pPr>
        <w:ind w:left="1080" w:hanging="360"/>
      </w:pPr>
      <w:rPr>
        <w:rFonts w:ascii="Symbol" w:hAnsi="Symbol"/>
      </w:rPr>
    </w:lvl>
    <w:lvl w:ilvl="2" w:tplc="7E16886E">
      <w:start w:val="1"/>
      <w:numFmt w:val="bullet"/>
      <w:lvlText w:val=""/>
      <w:lvlJc w:val="left"/>
      <w:pPr>
        <w:ind w:left="1080" w:hanging="360"/>
      </w:pPr>
      <w:rPr>
        <w:rFonts w:ascii="Symbol" w:hAnsi="Symbol"/>
      </w:rPr>
    </w:lvl>
    <w:lvl w:ilvl="3" w:tplc="8B6ADA14">
      <w:start w:val="1"/>
      <w:numFmt w:val="bullet"/>
      <w:lvlText w:val=""/>
      <w:lvlJc w:val="left"/>
      <w:pPr>
        <w:ind w:left="1080" w:hanging="360"/>
      </w:pPr>
      <w:rPr>
        <w:rFonts w:ascii="Symbol" w:hAnsi="Symbol"/>
      </w:rPr>
    </w:lvl>
    <w:lvl w:ilvl="4" w:tplc="BFB4DDDC">
      <w:start w:val="1"/>
      <w:numFmt w:val="bullet"/>
      <w:lvlText w:val=""/>
      <w:lvlJc w:val="left"/>
      <w:pPr>
        <w:ind w:left="1080" w:hanging="360"/>
      </w:pPr>
      <w:rPr>
        <w:rFonts w:ascii="Symbol" w:hAnsi="Symbol"/>
      </w:rPr>
    </w:lvl>
    <w:lvl w:ilvl="5" w:tplc="DDB62EC6">
      <w:start w:val="1"/>
      <w:numFmt w:val="bullet"/>
      <w:lvlText w:val=""/>
      <w:lvlJc w:val="left"/>
      <w:pPr>
        <w:ind w:left="1080" w:hanging="360"/>
      </w:pPr>
      <w:rPr>
        <w:rFonts w:ascii="Symbol" w:hAnsi="Symbol"/>
      </w:rPr>
    </w:lvl>
    <w:lvl w:ilvl="6" w:tplc="EEC803CE">
      <w:start w:val="1"/>
      <w:numFmt w:val="bullet"/>
      <w:lvlText w:val=""/>
      <w:lvlJc w:val="left"/>
      <w:pPr>
        <w:ind w:left="1080" w:hanging="360"/>
      </w:pPr>
      <w:rPr>
        <w:rFonts w:ascii="Symbol" w:hAnsi="Symbol"/>
      </w:rPr>
    </w:lvl>
    <w:lvl w:ilvl="7" w:tplc="2DAEDB18">
      <w:start w:val="1"/>
      <w:numFmt w:val="bullet"/>
      <w:lvlText w:val=""/>
      <w:lvlJc w:val="left"/>
      <w:pPr>
        <w:ind w:left="1080" w:hanging="360"/>
      </w:pPr>
      <w:rPr>
        <w:rFonts w:ascii="Symbol" w:hAnsi="Symbol"/>
      </w:rPr>
    </w:lvl>
    <w:lvl w:ilvl="8" w:tplc="A5D2D318">
      <w:start w:val="1"/>
      <w:numFmt w:val="bullet"/>
      <w:lvlText w:val=""/>
      <w:lvlJc w:val="left"/>
      <w:pPr>
        <w:ind w:left="1080" w:hanging="360"/>
      </w:pPr>
      <w:rPr>
        <w:rFonts w:ascii="Symbol" w:hAnsi="Symbol"/>
      </w:rPr>
    </w:lvl>
  </w:abstractNum>
  <w:abstractNum w:abstractNumId="67" w15:restartNumberingAfterBreak="0">
    <w:nsid w:val="787D2D73"/>
    <w:multiLevelType w:val="hybridMultilevel"/>
    <w:tmpl w:val="AE0C8900"/>
    <w:lvl w:ilvl="0" w:tplc="DBD65DB8">
      <w:start w:val="1"/>
      <w:numFmt w:val="bullet"/>
      <w:pStyle w:val="CS-IBMTableBullet2"/>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68" w15:restartNumberingAfterBreak="0">
    <w:nsid w:val="7AA44778"/>
    <w:multiLevelType w:val="hybridMultilevel"/>
    <w:tmpl w:val="4684B140"/>
    <w:lvl w:ilvl="0" w:tplc="4A88C2F2">
      <w:start w:val="1"/>
      <w:numFmt w:val="lowerRoman"/>
      <w:pStyle w:val="List3"/>
      <w:lvlText w:val="%1."/>
      <w:lvlJc w:val="left"/>
      <w:pPr>
        <w:tabs>
          <w:tab w:val="num" w:pos="926"/>
        </w:tabs>
        <w:ind w:left="926"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9" w15:restartNumberingAfterBreak="0">
    <w:nsid w:val="7E53105A"/>
    <w:multiLevelType w:val="hybridMultilevel"/>
    <w:tmpl w:val="DA2EC44E"/>
    <w:lvl w:ilvl="0" w:tplc="14D81F4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E8D40C5"/>
    <w:multiLevelType w:val="hybridMultilevel"/>
    <w:tmpl w:val="1E5ACE08"/>
    <w:lvl w:ilvl="0" w:tplc="C7549D08">
      <w:start w:val="1"/>
      <w:numFmt w:val="bullet"/>
      <w:lvlText w:val=""/>
      <w:lvlJc w:val="left"/>
      <w:pPr>
        <w:ind w:left="1080" w:hanging="360"/>
      </w:pPr>
      <w:rPr>
        <w:rFonts w:ascii="Symbol" w:hAnsi="Symbol"/>
      </w:rPr>
    </w:lvl>
    <w:lvl w:ilvl="1" w:tplc="BC5EE46C">
      <w:start w:val="1"/>
      <w:numFmt w:val="bullet"/>
      <w:lvlText w:val=""/>
      <w:lvlJc w:val="left"/>
      <w:pPr>
        <w:ind w:left="1080" w:hanging="360"/>
      </w:pPr>
      <w:rPr>
        <w:rFonts w:ascii="Symbol" w:hAnsi="Symbol"/>
      </w:rPr>
    </w:lvl>
    <w:lvl w:ilvl="2" w:tplc="C93CAF86">
      <w:start w:val="1"/>
      <w:numFmt w:val="bullet"/>
      <w:lvlText w:val=""/>
      <w:lvlJc w:val="left"/>
      <w:pPr>
        <w:ind w:left="1080" w:hanging="360"/>
      </w:pPr>
      <w:rPr>
        <w:rFonts w:ascii="Symbol" w:hAnsi="Symbol"/>
      </w:rPr>
    </w:lvl>
    <w:lvl w:ilvl="3" w:tplc="5784C7F6">
      <w:start w:val="1"/>
      <w:numFmt w:val="bullet"/>
      <w:lvlText w:val=""/>
      <w:lvlJc w:val="left"/>
      <w:pPr>
        <w:ind w:left="1080" w:hanging="360"/>
      </w:pPr>
      <w:rPr>
        <w:rFonts w:ascii="Symbol" w:hAnsi="Symbol"/>
      </w:rPr>
    </w:lvl>
    <w:lvl w:ilvl="4" w:tplc="A928EAB2">
      <w:start w:val="1"/>
      <w:numFmt w:val="bullet"/>
      <w:lvlText w:val=""/>
      <w:lvlJc w:val="left"/>
      <w:pPr>
        <w:ind w:left="1080" w:hanging="360"/>
      </w:pPr>
      <w:rPr>
        <w:rFonts w:ascii="Symbol" w:hAnsi="Symbol"/>
      </w:rPr>
    </w:lvl>
    <w:lvl w:ilvl="5" w:tplc="7672825E">
      <w:start w:val="1"/>
      <w:numFmt w:val="bullet"/>
      <w:lvlText w:val=""/>
      <w:lvlJc w:val="left"/>
      <w:pPr>
        <w:ind w:left="1080" w:hanging="360"/>
      </w:pPr>
      <w:rPr>
        <w:rFonts w:ascii="Symbol" w:hAnsi="Symbol"/>
      </w:rPr>
    </w:lvl>
    <w:lvl w:ilvl="6" w:tplc="EE26ACFC">
      <w:start w:val="1"/>
      <w:numFmt w:val="bullet"/>
      <w:lvlText w:val=""/>
      <w:lvlJc w:val="left"/>
      <w:pPr>
        <w:ind w:left="1080" w:hanging="360"/>
      </w:pPr>
      <w:rPr>
        <w:rFonts w:ascii="Symbol" w:hAnsi="Symbol"/>
      </w:rPr>
    </w:lvl>
    <w:lvl w:ilvl="7" w:tplc="BE4E6F2A">
      <w:start w:val="1"/>
      <w:numFmt w:val="bullet"/>
      <w:lvlText w:val=""/>
      <w:lvlJc w:val="left"/>
      <w:pPr>
        <w:ind w:left="1080" w:hanging="360"/>
      </w:pPr>
      <w:rPr>
        <w:rFonts w:ascii="Symbol" w:hAnsi="Symbol"/>
      </w:rPr>
    </w:lvl>
    <w:lvl w:ilvl="8" w:tplc="076C2A9A">
      <w:start w:val="1"/>
      <w:numFmt w:val="bullet"/>
      <w:lvlText w:val=""/>
      <w:lvlJc w:val="left"/>
      <w:pPr>
        <w:ind w:left="1080" w:hanging="360"/>
      </w:pPr>
      <w:rPr>
        <w:rFonts w:ascii="Symbol" w:hAnsi="Symbol"/>
      </w:rPr>
    </w:lvl>
  </w:abstractNum>
  <w:num w:numId="1" w16cid:durableId="282611964">
    <w:abstractNumId w:val="5"/>
  </w:num>
  <w:num w:numId="2" w16cid:durableId="1825856418">
    <w:abstractNumId w:val="16"/>
  </w:num>
  <w:num w:numId="3" w16cid:durableId="1391923421">
    <w:abstractNumId w:val="42"/>
  </w:num>
  <w:num w:numId="4" w16cid:durableId="841358567">
    <w:abstractNumId w:val="68"/>
  </w:num>
  <w:num w:numId="5" w16cid:durableId="1101729146">
    <w:abstractNumId w:val="35"/>
  </w:num>
  <w:num w:numId="6" w16cid:durableId="1801874410">
    <w:abstractNumId w:val="50"/>
  </w:num>
  <w:num w:numId="7" w16cid:durableId="860705883">
    <w:abstractNumId w:val="0"/>
  </w:num>
  <w:num w:numId="8" w16cid:durableId="1500578867">
    <w:abstractNumId w:val="47"/>
  </w:num>
  <w:num w:numId="9" w16cid:durableId="1482113343">
    <w:abstractNumId w:val="45"/>
  </w:num>
  <w:num w:numId="10" w16cid:durableId="1120757209">
    <w:abstractNumId w:val="34"/>
  </w:num>
  <w:num w:numId="11" w16cid:durableId="1809664078">
    <w:abstractNumId w:val="4"/>
  </w:num>
  <w:num w:numId="12" w16cid:durableId="148135245">
    <w:abstractNumId w:val="28"/>
  </w:num>
  <w:num w:numId="13" w16cid:durableId="1395661601">
    <w:abstractNumId w:val="53"/>
  </w:num>
  <w:num w:numId="14" w16cid:durableId="1440757471">
    <w:abstractNumId w:val="48"/>
  </w:num>
  <w:num w:numId="15" w16cid:durableId="1479608132">
    <w:abstractNumId w:val="32"/>
  </w:num>
  <w:num w:numId="16" w16cid:durableId="1102870950">
    <w:abstractNumId w:val="39"/>
  </w:num>
  <w:num w:numId="17" w16cid:durableId="1604608350">
    <w:abstractNumId w:val="67"/>
  </w:num>
  <w:num w:numId="18" w16cid:durableId="703403042">
    <w:abstractNumId w:val="51"/>
  </w:num>
  <w:num w:numId="19" w16cid:durableId="1056507566">
    <w:abstractNumId w:val="64"/>
  </w:num>
  <w:num w:numId="20" w16cid:durableId="615330643">
    <w:abstractNumId w:val="38"/>
  </w:num>
  <w:num w:numId="21" w16cid:durableId="1513640781">
    <w:abstractNumId w:val="10"/>
  </w:num>
  <w:num w:numId="22" w16cid:durableId="536045127">
    <w:abstractNumId w:val="41"/>
  </w:num>
  <w:num w:numId="23" w16cid:durableId="899054091">
    <w:abstractNumId w:val="49"/>
  </w:num>
  <w:num w:numId="24" w16cid:durableId="1157962591">
    <w:abstractNumId w:val="8"/>
  </w:num>
  <w:num w:numId="25" w16cid:durableId="1019695617">
    <w:abstractNumId w:val="54"/>
  </w:num>
  <w:num w:numId="26" w16cid:durableId="1765033992">
    <w:abstractNumId w:val="14"/>
  </w:num>
  <w:num w:numId="27" w16cid:durableId="1276911491">
    <w:abstractNumId w:val="36"/>
  </w:num>
  <w:num w:numId="28" w16cid:durableId="1987005735">
    <w:abstractNumId w:val="66"/>
  </w:num>
  <w:num w:numId="29" w16cid:durableId="2017685030">
    <w:abstractNumId w:val="22"/>
  </w:num>
  <w:num w:numId="30" w16cid:durableId="1060901864">
    <w:abstractNumId w:val="6"/>
  </w:num>
  <w:num w:numId="31" w16cid:durableId="1032652141">
    <w:abstractNumId w:val="59"/>
  </w:num>
  <w:num w:numId="32" w16cid:durableId="1623147312">
    <w:abstractNumId w:val="70"/>
  </w:num>
  <w:num w:numId="33" w16cid:durableId="1511140837">
    <w:abstractNumId w:val="21"/>
  </w:num>
  <w:num w:numId="34" w16cid:durableId="280189803">
    <w:abstractNumId w:val="11"/>
  </w:num>
  <w:num w:numId="35" w16cid:durableId="1783911410">
    <w:abstractNumId w:val="40"/>
  </w:num>
  <w:num w:numId="36" w16cid:durableId="992022036">
    <w:abstractNumId w:val="12"/>
  </w:num>
  <w:num w:numId="37" w16cid:durableId="1276331204">
    <w:abstractNumId w:val="46"/>
  </w:num>
  <w:num w:numId="38" w16cid:durableId="1679118100">
    <w:abstractNumId w:val="58"/>
  </w:num>
  <w:num w:numId="39" w16cid:durableId="1130978907">
    <w:abstractNumId w:val="17"/>
  </w:num>
  <w:num w:numId="40" w16cid:durableId="400980105">
    <w:abstractNumId w:val="18"/>
  </w:num>
  <w:num w:numId="41" w16cid:durableId="1040133461">
    <w:abstractNumId w:val="57"/>
  </w:num>
  <w:num w:numId="42" w16cid:durableId="1065879254">
    <w:abstractNumId w:val="44"/>
  </w:num>
  <w:num w:numId="43" w16cid:durableId="779648305">
    <w:abstractNumId w:val="27"/>
  </w:num>
  <w:num w:numId="44" w16cid:durableId="36244547">
    <w:abstractNumId w:val="26"/>
  </w:num>
  <w:num w:numId="45" w16cid:durableId="1779829772">
    <w:abstractNumId w:val="15"/>
  </w:num>
  <w:num w:numId="46" w16cid:durableId="1994719979">
    <w:abstractNumId w:val="31"/>
  </w:num>
  <w:num w:numId="47" w16cid:durableId="593132456">
    <w:abstractNumId w:val="10"/>
    <w:lvlOverride w:ilvl="0">
      <w:startOverride w:val="4"/>
    </w:lvlOverride>
    <w:lvlOverride w:ilvl="1">
      <w:startOverride w:val="2"/>
    </w:lvlOverride>
    <w:lvlOverride w:ilvl="2">
      <w:startOverride w:val="3"/>
    </w:lvlOverride>
  </w:num>
  <w:num w:numId="48" w16cid:durableId="1832942681">
    <w:abstractNumId w:val="30"/>
  </w:num>
  <w:num w:numId="49" w16cid:durableId="784545553">
    <w:abstractNumId w:val="37"/>
  </w:num>
  <w:num w:numId="50" w16cid:durableId="661544136">
    <w:abstractNumId w:val="52"/>
  </w:num>
  <w:num w:numId="51" w16cid:durableId="590623549">
    <w:abstractNumId w:val="25"/>
  </w:num>
  <w:num w:numId="52" w16cid:durableId="1671562613">
    <w:abstractNumId w:val="55"/>
  </w:num>
  <w:num w:numId="53" w16cid:durableId="378021720">
    <w:abstractNumId w:val="13"/>
  </w:num>
  <w:num w:numId="54" w16cid:durableId="1067849435">
    <w:abstractNumId w:val="9"/>
  </w:num>
  <w:num w:numId="55" w16cid:durableId="15354207">
    <w:abstractNumId w:val="7"/>
  </w:num>
  <w:num w:numId="56" w16cid:durableId="385419221">
    <w:abstractNumId w:val="29"/>
  </w:num>
  <w:num w:numId="57" w16cid:durableId="1623151500">
    <w:abstractNumId w:val="61"/>
  </w:num>
  <w:num w:numId="58" w16cid:durableId="1817139385">
    <w:abstractNumId w:val="3"/>
  </w:num>
  <w:num w:numId="59" w16cid:durableId="1409426740">
    <w:abstractNumId w:val="24"/>
  </w:num>
  <w:num w:numId="60" w16cid:durableId="769008738">
    <w:abstractNumId w:val="65"/>
  </w:num>
  <w:num w:numId="61" w16cid:durableId="2059548811">
    <w:abstractNumId w:val="69"/>
  </w:num>
  <w:num w:numId="62" w16cid:durableId="1856772319">
    <w:abstractNumId w:val="60"/>
  </w:num>
  <w:num w:numId="63" w16cid:durableId="363212366">
    <w:abstractNumId w:val="20"/>
  </w:num>
  <w:num w:numId="64" w16cid:durableId="571888625">
    <w:abstractNumId w:val="33"/>
  </w:num>
  <w:num w:numId="65" w16cid:durableId="322320037">
    <w:abstractNumId w:val="43"/>
  </w:num>
  <w:num w:numId="66" w16cid:durableId="995567055">
    <w:abstractNumId w:val="2"/>
  </w:num>
  <w:num w:numId="67" w16cid:durableId="2141804588">
    <w:abstractNumId w:val="63"/>
  </w:num>
  <w:num w:numId="68" w16cid:durableId="380977551">
    <w:abstractNumId w:val="56"/>
  </w:num>
  <w:num w:numId="69" w16cid:durableId="219098588">
    <w:abstractNumId w:val="19"/>
  </w:num>
  <w:num w:numId="70" w16cid:durableId="1538617371">
    <w:abstractNumId w:val="23"/>
  </w:num>
  <w:num w:numId="71" w16cid:durableId="1412046762">
    <w:abstractNumId w:val="1"/>
  </w:num>
  <w:num w:numId="72" w16cid:durableId="747076595">
    <w:abstractNumId w:val="62"/>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801" w:allStyles="1" w:customStyles="0" w:latentStyles="0" w:stylesInUse="0" w:headingStyles="0" w:numberingStyles="0" w:tableStyles="0" w:directFormattingOnRuns="0" w:directFormattingOnParagraphs="0" w:directFormattingOnNumbering="0" w:directFormattingOnTables="1" w:clearFormatting="1" w:top3HeadingStyles="0" w:visibleStyles="0" w:alternateStyleNames="0"/>
  <w:stylePaneSortMethod w:val="000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322A"/>
    <w:rsid w:val="000007AD"/>
    <w:rsid w:val="000009D5"/>
    <w:rsid w:val="00000F4B"/>
    <w:rsid w:val="000019F1"/>
    <w:rsid w:val="00001D23"/>
    <w:rsid w:val="00002813"/>
    <w:rsid w:val="00002EB5"/>
    <w:rsid w:val="000035A3"/>
    <w:rsid w:val="000038A6"/>
    <w:rsid w:val="00004EED"/>
    <w:rsid w:val="00005790"/>
    <w:rsid w:val="000062E4"/>
    <w:rsid w:val="00006481"/>
    <w:rsid w:val="00006B23"/>
    <w:rsid w:val="00007780"/>
    <w:rsid w:val="00007A7D"/>
    <w:rsid w:val="00010343"/>
    <w:rsid w:val="00011DF2"/>
    <w:rsid w:val="00012ECC"/>
    <w:rsid w:val="0001325D"/>
    <w:rsid w:val="00013EB8"/>
    <w:rsid w:val="0001407E"/>
    <w:rsid w:val="00014193"/>
    <w:rsid w:val="000141B8"/>
    <w:rsid w:val="0001480D"/>
    <w:rsid w:val="00014E4F"/>
    <w:rsid w:val="0001558E"/>
    <w:rsid w:val="00015CF4"/>
    <w:rsid w:val="00016639"/>
    <w:rsid w:val="00016A04"/>
    <w:rsid w:val="00016D83"/>
    <w:rsid w:val="00020688"/>
    <w:rsid w:val="000215F9"/>
    <w:rsid w:val="00021B05"/>
    <w:rsid w:val="00022166"/>
    <w:rsid w:val="000227E1"/>
    <w:rsid w:val="00022818"/>
    <w:rsid w:val="00023836"/>
    <w:rsid w:val="00023B56"/>
    <w:rsid w:val="00024CAC"/>
    <w:rsid w:val="00024EE9"/>
    <w:rsid w:val="00025299"/>
    <w:rsid w:val="00026EE5"/>
    <w:rsid w:val="00027455"/>
    <w:rsid w:val="0002746C"/>
    <w:rsid w:val="00027942"/>
    <w:rsid w:val="0003031C"/>
    <w:rsid w:val="00030336"/>
    <w:rsid w:val="00031964"/>
    <w:rsid w:val="0003277D"/>
    <w:rsid w:val="000339CD"/>
    <w:rsid w:val="00033F83"/>
    <w:rsid w:val="0003405C"/>
    <w:rsid w:val="00034CE2"/>
    <w:rsid w:val="000355B4"/>
    <w:rsid w:val="00035641"/>
    <w:rsid w:val="00035A13"/>
    <w:rsid w:val="00035D0F"/>
    <w:rsid w:val="00036468"/>
    <w:rsid w:val="000364BA"/>
    <w:rsid w:val="00036B4D"/>
    <w:rsid w:val="000371C0"/>
    <w:rsid w:val="00037598"/>
    <w:rsid w:val="00037B40"/>
    <w:rsid w:val="00037FA8"/>
    <w:rsid w:val="00040D13"/>
    <w:rsid w:val="000417D1"/>
    <w:rsid w:val="00041E55"/>
    <w:rsid w:val="00041E79"/>
    <w:rsid w:val="000438E8"/>
    <w:rsid w:val="000439DE"/>
    <w:rsid w:val="000442AF"/>
    <w:rsid w:val="000445BD"/>
    <w:rsid w:val="00044CA4"/>
    <w:rsid w:val="00044F69"/>
    <w:rsid w:val="00045E3C"/>
    <w:rsid w:val="00045F84"/>
    <w:rsid w:val="000461A2"/>
    <w:rsid w:val="00047A72"/>
    <w:rsid w:val="00047D00"/>
    <w:rsid w:val="00050660"/>
    <w:rsid w:val="00050871"/>
    <w:rsid w:val="00050AF5"/>
    <w:rsid w:val="00050C87"/>
    <w:rsid w:val="000530A4"/>
    <w:rsid w:val="0005351F"/>
    <w:rsid w:val="00053AD5"/>
    <w:rsid w:val="000541C2"/>
    <w:rsid w:val="00054E3D"/>
    <w:rsid w:val="00054F2F"/>
    <w:rsid w:val="00056081"/>
    <w:rsid w:val="000577FD"/>
    <w:rsid w:val="00057EC9"/>
    <w:rsid w:val="000600A5"/>
    <w:rsid w:val="00060685"/>
    <w:rsid w:val="000615D2"/>
    <w:rsid w:val="00061690"/>
    <w:rsid w:val="00061F12"/>
    <w:rsid w:val="0006291A"/>
    <w:rsid w:val="00062F76"/>
    <w:rsid w:val="0006336A"/>
    <w:rsid w:val="00064A73"/>
    <w:rsid w:val="00064AE5"/>
    <w:rsid w:val="00065343"/>
    <w:rsid w:val="000654BA"/>
    <w:rsid w:val="00065569"/>
    <w:rsid w:val="000660C8"/>
    <w:rsid w:val="000664ED"/>
    <w:rsid w:val="00066583"/>
    <w:rsid w:val="00066835"/>
    <w:rsid w:val="00066D29"/>
    <w:rsid w:val="00067176"/>
    <w:rsid w:val="00067885"/>
    <w:rsid w:val="00070DF9"/>
    <w:rsid w:val="0007206D"/>
    <w:rsid w:val="00072CAD"/>
    <w:rsid w:val="00073303"/>
    <w:rsid w:val="00074A63"/>
    <w:rsid w:val="00074E51"/>
    <w:rsid w:val="0007525E"/>
    <w:rsid w:val="0007610C"/>
    <w:rsid w:val="000764CC"/>
    <w:rsid w:val="00076D1A"/>
    <w:rsid w:val="00077000"/>
    <w:rsid w:val="000773B4"/>
    <w:rsid w:val="00080597"/>
    <w:rsid w:val="00080701"/>
    <w:rsid w:val="00080749"/>
    <w:rsid w:val="0008081E"/>
    <w:rsid w:val="000808AE"/>
    <w:rsid w:val="000813AF"/>
    <w:rsid w:val="00082244"/>
    <w:rsid w:val="000827D1"/>
    <w:rsid w:val="00082BA7"/>
    <w:rsid w:val="00083341"/>
    <w:rsid w:val="000846FF"/>
    <w:rsid w:val="00084F3A"/>
    <w:rsid w:val="00085ABF"/>
    <w:rsid w:val="00085C67"/>
    <w:rsid w:val="000867D0"/>
    <w:rsid w:val="00086DD8"/>
    <w:rsid w:val="00087713"/>
    <w:rsid w:val="00087750"/>
    <w:rsid w:val="00087ACD"/>
    <w:rsid w:val="00087EB3"/>
    <w:rsid w:val="000901F0"/>
    <w:rsid w:val="0009063A"/>
    <w:rsid w:val="00090C5E"/>
    <w:rsid w:val="00090F31"/>
    <w:rsid w:val="00091584"/>
    <w:rsid w:val="00092DE2"/>
    <w:rsid w:val="00094211"/>
    <w:rsid w:val="0009439F"/>
    <w:rsid w:val="000948FB"/>
    <w:rsid w:val="00094DF0"/>
    <w:rsid w:val="00095ED5"/>
    <w:rsid w:val="000962F2"/>
    <w:rsid w:val="0009646B"/>
    <w:rsid w:val="00097963"/>
    <w:rsid w:val="000A066B"/>
    <w:rsid w:val="000A0FEE"/>
    <w:rsid w:val="000A13E9"/>
    <w:rsid w:val="000A1418"/>
    <w:rsid w:val="000A18C9"/>
    <w:rsid w:val="000A1A03"/>
    <w:rsid w:val="000A1BBD"/>
    <w:rsid w:val="000A1F79"/>
    <w:rsid w:val="000A2164"/>
    <w:rsid w:val="000A22DF"/>
    <w:rsid w:val="000A2620"/>
    <w:rsid w:val="000A41EA"/>
    <w:rsid w:val="000A4F39"/>
    <w:rsid w:val="000A555C"/>
    <w:rsid w:val="000A72A0"/>
    <w:rsid w:val="000A739F"/>
    <w:rsid w:val="000A7564"/>
    <w:rsid w:val="000B0031"/>
    <w:rsid w:val="000B0063"/>
    <w:rsid w:val="000B07B0"/>
    <w:rsid w:val="000B0FB9"/>
    <w:rsid w:val="000B13D1"/>
    <w:rsid w:val="000B172A"/>
    <w:rsid w:val="000B23ED"/>
    <w:rsid w:val="000B377B"/>
    <w:rsid w:val="000B41DB"/>
    <w:rsid w:val="000B5035"/>
    <w:rsid w:val="000B53D6"/>
    <w:rsid w:val="000B5823"/>
    <w:rsid w:val="000B5ED7"/>
    <w:rsid w:val="000B5EE4"/>
    <w:rsid w:val="000B5FE0"/>
    <w:rsid w:val="000B6670"/>
    <w:rsid w:val="000B67A7"/>
    <w:rsid w:val="000B69F7"/>
    <w:rsid w:val="000B72C8"/>
    <w:rsid w:val="000B774A"/>
    <w:rsid w:val="000B78FF"/>
    <w:rsid w:val="000C00AA"/>
    <w:rsid w:val="000C00BA"/>
    <w:rsid w:val="000C0980"/>
    <w:rsid w:val="000C19B6"/>
    <w:rsid w:val="000C1E8B"/>
    <w:rsid w:val="000C23A1"/>
    <w:rsid w:val="000C25C6"/>
    <w:rsid w:val="000C2EAC"/>
    <w:rsid w:val="000C2FAB"/>
    <w:rsid w:val="000C343D"/>
    <w:rsid w:val="000C379E"/>
    <w:rsid w:val="000C3A07"/>
    <w:rsid w:val="000C57A9"/>
    <w:rsid w:val="000C5ADB"/>
    <w:rsid w:val="000C5FFF"/>
    <w:rsid w:val="000C6448"/>
    <w:rsid w:val="000C672D"/>
    <w:rsid w:val="000C6EC6"/>
    <w:rsid w:val="000C72A7"/>
    <w:rsid w:val="000C7BF6"/>
    <w:rsid w:val="000D0E54"/>
    <w:rsid w:val="000D0F65"/>
    <w:rsid w:val="000D0F72"/>
    <w:rsid w:val="000D1071"/>
    <w:rsid w:val="000D1284"/>
    <w:rsid w:val="000D13A4"/>
    <w:rsid w:val="000D1585"/>
    <w:rsid w:val="000D15C0"/>
    <w:rsid w:val="000D26AA"/>
    <w:rsid w:val="000D547C"/>
    <w:rsid w:val="000D58F1"/>
    <w:rsid w:val="000D5EA4"/>
    <w:rsid w:val="000E0227"/>
    <w:rsid w:val="000E0AF2"/>
    <w:rsid w:val="000E1889"/>
    <w:rsid w:val="000E1E9A"/>
    <w:rsid w:val="000E1FC0"/>
    <w:rsid w:val="000E313E"/>
    <w:rsid w:val="000E32EB"/>
    <w:rsid w:val="000E342E"/>
    <w:rsid w:val="000E34F0"/>
    <w:rsid w:val="000E3995"/>
    <w:rsid w:val="000E4A40"/>
    <w:rsid w:val="000E4E23"/>
    <w:rsid w:val="000E5260"/>
    <w:rsid w:val="000E5A21"/>
    <w:rsid w:val="000E6357"/>
    <w:rsid w:val="000E63F7"/>
    <w:rsid w:val="000E6434"/>
    <w:rsid w:val="000E6ACC"/>
    <w:rsid w:val="000E6F22"/>
    <w:rsid w:val="000F1467"/>
    <w:rsid w:val="000F40FB"/>
    <w:rsid w:val="000F4431"/>
    <w:rsid w:val="000F46E7"/>
    <w:rsid w:val="000F4AD3"/>
    <w:rsid w:val="000F508B"/>
    <w:rsid w:val="000F5354"/>
    <w:rsid w:val="000F5898"/>
    <w:rsid w:val="000F5DA1"/>
    <w:rsid w:val="000F6599"/>
    <w:rsid w:val="000F70D0"/>
    <w:rsid w:val="000F7DFC"/>
    <w:rsid w:val="00100682"/>
    <w:rsid w:val="001008A9"/>
    <w:rsid w:val="00102278"/>
    <w:rsid w:val="00102C98"/>
    <w:rsid w:val="001036E0"/>
    <w:rsid w:val="00103C46"/>
    <w:rsid w:val="00103FDE"/>
    <w:rsid w:val="00104613"/>
    <w:rsid w:val="00104E2A"/>
    <w:rsid w:val="00104FD2"/>
    <w:rsid w:val="00107B93"/>
    <w:rsid w:val="00110CB7"/>
    <w:rsid w:val="00111131"/>
    <w:rsid w:val="001112AD"/>
    <w:rsid w:val="00111C24"/>
    <w:rsid w:val="00112272"/>
    <w:rsid w:val="00112419"/>
    <w:rsid w:val="001127BE"/>
    <w:rsid w:val="0011334D"/>
    <w:rsid w:val="00113515"/>
    <w:rsid w:val="001135A2"/>
    <w:rsid w:val="00113AD2"/>
    <w:rsid w:val="00114D1C"/>
    <w:rsid w:val="00114DD7"/>
    <w:rsid w:val="001153A2"/>
    <w:rsid w:val="001157A4"/>
    <w:rsid w:val="001158F9"/>
    <w:rsid w:val="00116A68"/>
    <w:rsid w:val="00116EDF"/>
    <w:rsid w:val="001171CA"/>
    <w:rsid w:val="00117A93"/>
    <w:rsid w:val="00117B3D"/>
    <w:rsid w:val="00117E06"/>
    <w:rsid w:val="0012056E"/>
    <w:rsid w:val="00120E80"/>
    <w:rsid w:val="00120F63"/>
    <w:rsid w:val="001211D1"/>
    <w:rsid w:val="00121AB0"/>
    <w:rsid w:val="00121C96"/>
    <w:rsid w:val="00121FA7"/>
    <w:rsid w:val="00122FF3"/>
    <w:rsid w:val="00124502"/>
    <w:rsid w:val="00124523"/>
    <w:rsid w:val="00124DFC"/>
    <w:rsid w:val="00125116"/>
    <w:rsid w:val="001258CF"/>
    <w:rsid w:val="00125C6D"/>
    <w:rsid w:val="00126102"/>
    <w:rsid w:val="001261A2"/>
    <w:rsid w:val="00126230"/>
    <w:rsid w:val="001270A6"/>
    <w:rsid w:val="00127199"/>
    <w:rsid w:val="00127646"/>
    <w:rsid w:val="0012794E"/>
    <w:rsid w:val="00130835"/>
    <w:rsid w:val="00130FBD"/>
    <w:rsid w:val="00131129"/>
    <w:rsid w:val="001313BE"/>
    <w:rsid w:val="001314E1"/>
    <w:rsid w:val="00131CB5"/>
    <w:rsid w:val="00131DA1"/>
    <w:rsid w:val="0013306E"/>
    <w:rsid w:val="00134312"/>
    <w:rsid w:val="00135081"/>
    <w:rsid w:val="00135C22"/>
    <w:rsid w:val="00135E06"/>
    <w:rsid w:val="00135F16"/>
    <w:rsid w:val="00136186"/>
    <w:rsid w:val="001367A6"/>
    <w:rsid w:val="0013763C"/>
    <w:rsid w:val="00137784"/>
    <w:rsid w:val="00137C51"/>
    <w:rsid w:val="00140CEC"/>
    <w:rsid w:val="00141078"/>
    <w:rsid w:val="0014137B"/>
    <w:rsid w:val="0014169B"/>
    <w:rsid w:val="00141DFB"/>
    <w:rsid w:val="0014208D"/>
    <w:rsid w:val="001422D8"/>
    <w:rsid w:val="001423D7"/>
    <w:rsid w:val="00142A25"/>
    <w:rsid w:val="00142D1B"/>
    <w:rsid w:val="00143B98"/>
    <w:rsid w:val="00143F35"/>
    <w:rsid w:val="00144798"/>
    <w:rsid w:val="00145072"/>
    <w:rsid w:val="0014511D"/>
    <w:rsid w:val="0014556C"/>
    <w:rsid w:val="0014569C"/>
    <w:rsid w:val="00146594"/>
    <w:rsid w:val="00146C3B"/>
    <w:rsid w:val="00146D49"/>
    <w:rsid w:val="00147CA8"/>
    <w:rsid w:val="00151155"/>
    <w:rsid w:val="00152171"/>
    <w:rsid w:val="001525A7"/>
    <w:rsid w:val="00152BD6"/>
    <w:rsid w:val="00152FA4"/>
    <w:rsid w:val="00154C0F"/>
    <w:rsid w:val="00154C8C"/>
    <w:rsid w:val="0015599F"/>
    <w:rsid w:val="00155A49"/>
    <w:rsid w:val="00155BE9"/>
    <w:rsid w:val="001564F6"/>
    <w:rsid w:val="00157D17"/>
    <w:rsid w:val="001618B5"/>
    <w:rsid w:val="00162479"/>
    <w:rsid w:val="00162CB1"/>
    <w:rsid w:val="0016304B"/>
    <w:rsid w:val="001630AB"/>
    <w:rsid w:val="00163EA0"/>
    <w:rsid w:val="00164237"/>
    <w:rsid w:val="001660B8"/>
    <w:rsid w:val="00166D87"/>
    <w:rsid w:val="00166E43"/>
    <w:rsid w:val="00167046"/>
    <w:rsid w:val="00167D98"/>
    <w:rsid w:val="00167F28"/>
    <w:rsid w:val="00171DC0"/>
    <w:rsid w:val="00171F71"/>
    <w:rsid w:val="00172E74"/>
    <w:rsid w:val="00173415"/>
    <w:rsid w:val="00173DEE"/>
    <w:rsid w:val="00174A22"/>
    <w:rsid w:val="00174FFC"/>
    <w:rsid w:val="00175A18"/>
    <w:rsid w:val="00175F24"/>
    <w:rsid w:val="0017660C"/>
    <w:rsid w:val="00176681"/>
    <w:rsid w:val="00176707"/>
    <w:rsid w:val="001767B8"/>
    <w:rsid w:val="00176E31"/>
    <w:rsid w:val="0017721B"/>
    <w:rsid w:val="0017778E"/>
    <w:rsid w:val="00180550"/>
    <w:rsid w:val="00180629"/>
    <w:rsid w:val="00180683"/>
    <w:rsid w:val="00181105"/>
    <w:rsid w:val="00181B03"/>
    <w:rsid w:val="001826D8"/>
    <w:rsid w:val="001826EB"/>
    <w:rsid w:val="00182A6B"/>
    <w:rsid w:val="00182C50"/>
    <w:rsid w:val="00184384"/>
    <w:rsid w:val="00184D28"/>
    <w:rsid w:val="00185BD5"/>
    <w:rsid w:val="001862D9"/>
    <w:rsid w:val="0018748D"/>
    <w:rsid w:val="00187A22"/>
    <w:rsid w:val="00190083"/>
    <w:rsid w:val="00190755"/>
    <w:rsid w:val="00190A64"/>
    <w:rsid w:val="0019182E"/>
    <w:rsid w:val="0019217A"/>
    <w:rsid w:val="00192372"/>
    <w:rsid w:val="00193181"/>
    <w:rsid w:val="00194895"/>
    <w:rsid w:val="00195483"/>
    <w:rsid w:val="001961FE"/>
    <w:rsid w:val="00197132"/>
    <w:rsid w:val="001978B1"/>
    <w:rsid w:val="00197DB6"/>
    <w:rsid w:val="001A1ECE"/>
    <w:rsid w:val="001A2A0C"/>
    <w:rsid w:val="001A2BCF"/>
    <w:rsid w:val="001A361F"/>
    <w:rsid w:val="001A372E"/>
    <w:rsid w:val="001A395C"/>
    <w:rsid w:val="001A3A71"/>
    <w:rsid w:val="001A402E"/>
    <w:rsid w:val="001A469E"/>
    <w:rsid w:val="001A526F"/>
    <w:rsid w:val="001A53DE"/>
    <w:rsid w:val="001A5401"/>
    <w:rsid w:val="001A6FC9"/>
    <w:rsid w:val="001A7ADD"/>
    <w:rsid w:val="001B01C6"/>
    <w:rsid w:val="001B0364"/>
    <w:rsid w:val="001B03A7"/>
    <w:rsid w:val="001B0668"/>
    <w:rsid w:val="001B0E1A"/>
    <w:rsid w:val="001B0E8B"/>
    <w:rsid w:val="001B0ED2"/>
    <w:rsid w:val="001B0F33"/>
    <w:rsid w:val="001B11CC"/>
    <w:rsid w:val="001B1514"/>
    <w:rsid w:val="001B22FE"/>
    <w:rsid w:val="001B28BD"/>
    <w:rsid w:val="001B2B5D"/>
    <w:rsid w:val="001B3A39"/>
    <w:rsid w:val="001B4042"/>
    <w:rsid w:val="001B4430"/>
    <w:rsid w:val="001B58F7"/>
    <w:rsid w:val="001B665F"/>
    <w:rsid w:val="001B72B8"/>
    <w:rsid w:val="001B791D"/>
    <w:rsid w:val="001C0D0D"/>
    <w:rsid w:val="001C18D6"/>
    <w:rsid w:val="001C2B76"/>
    <w:rsid w:val="001C2C9A"/>
    <w:rsid w:val="001C325B"/>
    <w:rsid w:val="001C38CA"/>
    <w:rsid w:val="001C394B"/>
    <w:rsid w:val="001C3A57"/>
    <w:rsid w:val="001C4CF4"/>
    <w:rsid w:val="001C59D0"/>
    <w:rsid w:val="001C686E"/>
    <w:rsid w:val="001C6B4F"/>
    <w:rsid w:val="001C6D47"/>
    <w:rsid w:val="001C6E66"/>
    <w:rsid w:val="001C6EA0"/>
    <w:rsid w:val="001C70AE"/>
    <w:rsid w:val="001C75C2"/>
    <w:rsid w:val="001C7BD3"/>
    <w:rsid w:val="001D0B47"/>
    <w:rsid w:val="001D17C3"/>
    <w:rsid w:val="001D1897"/>
    <w:rsid w:val="001D21AF"/>
    <w:rsid w:val="001D2894"/>
    <w:rsid w:val="001D3509"/>
    <w:rsid w:val="001D364A"/>
    <w:rsid w:val="001D3673"/>
    <w:rsid w:val="001D3E33"/>
    <w:rsid w:val="001D4EF9"/>
    <w:rsid w:val="001D4F23"/>
    <w:rsid w:val="001D553F"/>
    <w:rsid w:val="001D58E7"/>
    <w:rsid w:val="001D5FEC"/>
    <w:rsid w:val="001D65B3"/>
    <w:rsid w:val="001D6A3F"/>
    <w:rsid w:val="001D7106"/>
    <w:rsid w:val="001D712F"/>
    <w:rsid w:val="001D7259"/>
    <w:rsid w:val="001D7C06"/>
    <w:rsid w:val="001E004B"/>
    <w:rsid w:val="001E046B"/>
    <w:rsid w:val="001E0CF3"/>
    <w:rsid w:val="001E1D57"/>
    <w:rsid w:val="001E1DA0"/>
    <w:rsid w:val="001E2080"/>
    <w:rsid w:val="001E28CE"/>
    <w:rsid w:val="001E2914"/>
    <w:rsid w:val="001E2E9F"/>
    <w:rsid w:val="001E3384"/>
    <w:rsid w:val="001E39A8"/>
    <w:rsid w:val="001E3B68"/>
    <w:rsid w:val="001E3E09"/>
    <w:rsid w:val="001E428C"/>
    <w:rsid w:val="001E4BF8"/>
    <w:rsid w:val="001E5832"/>
    <w:rsid w:val="001E7013"/>
    <w:rsid w:val="001F01BC"/>
    <w:rsid w:val="001F0292"/>
    <w:rsid w:val="001F0744"/>
    <w:rsid w:val="001F2204"/>
    <w:rsid w:val="001F35D3"/>
    <w:rsid w:val="001F3AAB"/>
    <w:rsid w:val="001F3F93"/>
    <w:rsid w:val="001F4A73"/>
    <w:rsid w:val="001F528E"/>
    <w:rsid w:val="001F52C4"/>
    <w:rsid w:val="001F582F"/>
    <w:rsid w:val="001F71DA"/>
    <w:rsid w:val="001F74FD"/>
    <w:rsid w:val="001F7DAD"/>
    <w:rsid w:val="002001CF"/>
    <w:rsid w:val="00200985"/>
    <w:rsid w:val="00200C25"/>
    <w:rsid w:val="0020254B"/>
    <w:rsid w:val="00202B35"/>
    <w:rsid w:val="00202F2B"/>
    <w:rsid w:val="002030C1"/>
    <w:rsid w:val="00203839"/>
    <w:rsid w:val="002043A6"/>
    <w:rsid w:val="002045D6"/>
    <w:rsid w:val="0020461F"/>
    <w:rsid w:val="00206614"/>
    <w:rsid w:val="0020696C"/>
    <w:rsid w:val="00206A0F"/>
    <w:rsid w:val="00206C9A"/>
    <w:rsid w:val="00207193"/>
    <w:rsid w:val="00207561"/>
    <w:rsid w:val="002077A5"/>
    <w:rsid w:val="002079B6"/>
    <w:rsid w:val="00207D53"/>
    <w:rsid w:val="002108EC"/>
    <w:rsid w:val="00211CC1"/>
    <w:rsid w:val="00211D09"/>
    <w:rsid w:val="002121D0"/>
    <w:rsid w:val="00212957"/>
    <w:rsid w:val="002136A5"/>
    <w:rsid w:val="002136FF"/>
    <w:rsid w:val="00213FF7"/>
    <w:rsid w:val="002142C6"/>
    <w:rsid w:val="00214917"/>
    <w:rsid w:val="00214DA0"/>
    <w:rsid w:val="00215A10"/>
    <w:rsid w:val="0021689F"/>
    <w:rsid w:val="00216AD0"/>
    <w:rsid w:val="00216BAC"/>
    <w:rsid w:val="00216DAC"/>
    <w:rsid w:val="002170E1"/>
    <w:rsid w:val="002171A3"/>
    <w:rsid w:val="00217788"/>
    <w:rsid w:val="00217ABA"/>
    <w:rsid w:val="00221D19"/>
    <w:rsid w:val="00221DAD"/>
    <w:rsid w:val="00221E51"/>
    <w:rsid w:val="0022234F"/>
    <w:rsid w:val="002223CC"/>
    <w:rsid w:val="002223EC"/>
    <w:rsid w:val="002225C3"/>
    <w:rsid w:val="00222653"/>
    <w:rsid w:val="002226FC"/>
    <w:rsid w:val="0022367D"/>
    <w:rsid w:val="0022388C"/>
    <w:rsid w:val="002238C8"/>
    <w:rsid w:val="00223D60"/>
    <w:rsid w:val="002247A4"/>
    <w:rsid w:val="002250DA"/>
    <w:rsid w:val="00225DA3"/>
    <w:rsid w:val="002261DB"/>
    <w:rsid w:val="00226D55"/>
    <w:rsid w:val="00226EDD"/>
    <w:rsid w:val="00227436"/>
    <w:rsid w:val="0022771D"/>
    <w:rsid w:val="00230AB2"/>
    <w:rsid w:val="002312E4"/>
    <w:rsid w:val="00231515"/>
    <w:rsid w:val="00231D2D"/>
    <w:rsid w:val="00231EAC"/>
    <w:rsid w:val="00232033"/>
    <w:rsid w:val="0023256C"/>
    <w:rsid w:val="002326EC"/>
    <w:rsid w:val="00233C8D"/>
    <w:rsid w:val="00233CED"/>
    <w:rsid w:val="0023443C"/>
    <w:rsid w:val="002344E7"/>
    <w:rsid w:val="00237430"/>
    <w:rsid w:val="002375A4"/>
    <w:rsid w:val="00237996"/>
    <w:rsid w:val="00240057"/>
    <w:rsid w:val="00240708"/>
    <w:rsid w:val="00240AB3"/>
    <w:rsid w:val="002412BE"/>
    <w:rsid w:val="0024189F"/>
    <w:rsid w:val="002420FD"/>
    <w:rsid w:val="00242A11"/>
    <w:rsid w:val="00243224"/>
    <w:rsid w:val="002435FA"/>
    <w:rsid w:val="00243FFB"/>
    <w:rsid w:val="002444D7"/>
    <w:rsid w:val="00244526"/>
    <w:rsid w:val="00245554"/>
    <w:rsid w:val="00245763"/>
    <w:rsid w:val="00245820"/>
    <w:rsid w:val="002458C9"/>
    <w:rsid w:val="002463C3"/>
    <w:rsid w:val="00246AE1"/>
    <w:rsid w:val="00247558"/>
    <w:rsid w:val="002476AC"/>
    <w:rsid w:val="00247715"/>
    <w:rsid w:val="002478FF"/>
    <w:rsid w:val="00247A05"/>
    <w:rsid w:val="00247D05"/>
    <w:rsid w:val="00250478"/>
    <w:rsid w:val="00250D2E"/>
    <w:rsid w:val="00252157"/>
    <w:rsid w:val="002522FB"/>
    <w:rsid w:val="00253A1A"/>
    <w:rsid w:val="00253BC2"/>
    <w:rsid w:val="002540F1"/>
    <w:rsid w:val="00254FA6"/>
    <w:rsid w:val="00255FD7"/>
    <w:rsid w:val="0025632F"/>
    <w:rsid w:val="00256878"/>
    <w:rsid w:val="002572FC"/>
    <w:rsid w:val="0025735A"/>
    <w:rsid w:val="002578C9"/>
    <w:rsid w:val="00257967"/>
    <w:rsid w:val="002600EA"/>
    <w:rsid w:val="00260CBB"/>
    <w:rsid w:val="00260E48"/>
    <w:rsid w:val="002618B5"/>
    <w:rsid w:val="00261981"/>
    <w:rsid w:val="00261E53"/>
    <w:rsid w:val="00262916"/>
    <w:rsid w:val="00262FA8"/>
    <w:rsid w:val="0026326A"/>
    <w:rsid w:val="002635B8"/>
    <w:rsid w:val="00263A3C"/>
    <w:rsid w:val="00263B6D"/>
    <w:rsid w:val="002644D0"/>
    <w:rsid w:val="002660E8"/>
    <w:rsid w:val="00266228"/>
    <w:rsid w:val="00267F32"/>
    <w:rsid w:val="00270191"/>
    <w:rsid w:val="00271165"/>
    <w:rsid w:val="0027241C"/>
    <w:rsid w:val="00272BE0"/>
    <w:rsid w:val="00273064"/>
    <w:rsid w:val="0027309D"/>
    <w:rsid w:val="0027380B"/>
    <w:rsid w:val="00273C58"/>
    <w:rsid w:val="00274BB0"/>
    <w:rsid w:val="00275335"/>
    <w:rsid w:val="00276D3E"/>
    <w:rsid w:val="00276FF9"/>
    <w:rsid w:val="002772CD"/>
    <w:rsid w:val="002775DB"/>
    <w:rsid w:val="00281086"/>
    <w:rsid w:val="002810E0"/>
    <w:rsid w:val="002818EC"/>
    <w:rsid w:val="002824B5"/>
    <w:rsid w:val="00282FFF"/>
    <w:rsid w:val="00284898"/>
    <w:rsid w:val="00284D63"/>
    <w:rsid w:val="0028555D"/>
    <w:rsid w:val="0028615F"/>
    <w:rsid w:val="002871DC"/>
    <w:rsid w:val="0029116A"/>
    <w:rsid w:val="00291616"/>
    <w:rsid w:val="00291908"/>
    <w:rsid w:val="002919CF"/>
    <w:rsid w:val="00291BBF"/>
    <w:rsid w:val="00292BE4"/>
    <w:rsid w:val="00292F4E"/>
    <w:rsid w:val="00293023"/>
    <w:rsid w:val="00293D06"/>
    <w:rsid w:val="00294211"/>
    <w:rsid w:val="002949D4"/>
    <w:rsid w:val="00294D49"/>
    <w:rsid w:val="0029552C"/>
    <w:rsid w:val="002955FA"/>
    <w:rsid w:val="00296A13"/>
    <w:rsid w:val="00296EA6"/>
    <w:rsid w:val="00297D62"/>
    <w:rsid w:val="002A0491"/>
    <w:rsid w:val="002A10A7"/>
    <w:rsid w:val="002A10BA"/>
    <w:rsid w:val="002A1455"/>
    <w:rsid w:val="002A1613"/>
    <w:rsid w:val="002A1842"/>
    <w:rsid w:val="002A2922"/>
    <w:rsid w:val="002A388B"/>
    <w:rsid w:val="002A3D36"/>
    <w:rsid w:val="002A48DB"/>
    <w:rsid w:val="002A52D9"/>
    <w:rsid w:val="002A58BA"/>
    <w:rsid w:val="002A59B6"/>
    <w:rsid w:val="002A65F1"/>
    <w:rsid w:val="002A68E6"/>
    <w:rsid w:val="002A6FFE"/>
    <w:rsid w:val="002A715C"/>
    <w:rsid w:val="002A727C"/>
    <w:rsid w:val="002A762C"/>
    <w:rsid w:val="002B00E6"/>
    <w:rsid w:val="002B0100"/>
    <w:rsid w:val="002B0229"/>
    <w:rsid w:val="002B02AE"/>
    <w:rsid w:val="002B047E"/>
    <w:rsid w:val="002B06E6"/>
    <w:rsid w:val="002B07EA"/>
    <w:rsid w:val="002B142A"/>
    <w:rsid w:val="002B1B97"/>
    <w:rsid w:val="002B1FB6"/>
    <w:rsid w:val="002B2012"/>
    <w:rsid w:val="002B2434"/>
    <w:rsid w:val="002B26D7"/>
    <w:rsid w:val="002B2811"/>
    <w:rsid w:val="002B3CB3"/>
    <w:rsid w:val="002B5DDB"/>
    <w:rsid w:val="002B62A5"/>
    <w:rsid w:val="002B64C8"/>
    <w:rsid w:val="002B6763"/>
    <w:rsid w:val="002B68D9"/>
    <w:rsid w:val="002B7C45"/>
    <w:rsid w:val="002C0850"/>
    <w:rsid w:val="002C0C60"/>
    <w:rsid w:val="002C227E"/>
    <w:rsid w:val="002C2EFC"/>
    <w:rsid w:val="002C305B"/>
    <w:rsid w:val="002C3173"/>
    <w:rsid w:val="002C33D4"/>
    <w:rsid w:val="002C3472"/>
    <w:rsid w:val="002C397C"/>
    <w:rsid w:val="002C3A9C"/>
    <w:rsid w:val="002C466D"/>
    <w:rsid w:val="002C48F8"/>
    <w:rsid w:val="002C4B15"/>
    <w:rsid w:val="002C4D5C"/>
    <w:rsid w:val="002C5B81"/>
    <w:rsid w:val="002C62C6"/>
    <w:rsid w:val="002C63AC"/>
    <w:rsid w:val="002C6425"/>
    <w:rsid w:val="002C6439"/>
    <w:rsid w:val="002C744B"/>
    <w:rsid w:val="002C7CC9"/>
    <w:rsid w:val="002C7DC9"/>
    <w:rsid w:val="002C7EC2"/>
    <w:rsid w:val="002C7F18"/>
    <w:rsid w:val="002D1700"/>
    <w:rsid w:val="002D186C"/>
    <w:rsid w:val="002D1F0C"/>
    <w:rsid w:val="002D278D"/>
    <w:rsid w:val="002D2DAF"/>
    <w:rsid w:val="002D3334"/>
    <w:rsid w:val="002D3430"/>
    <w:rsid w:val="002D3DDC"/>
    <w:rsid w:val="002D3FFD"/>
    <w:rsid w:val="002D454E"/>
    <w:rsid w:val="002D45DA"/>
    <w:rsid w:val="002D4739"/>
    <w:rsid w:val="002D47D6"/>
    <w:rsid w:val="002D48BA"/>
    <w:rsid w:val="002D4C43"/>
    <w:rsid w:val="002D4CAB"/>
    <w:rsid w:val="002D4EEB"/>
    <w:rsid w:val="002D73F4"/>
    <w:rsid w:val="002D78C1"/>
    <w:rsid w:val="002D7BAB"/>
    <w:rsid w:val="002D7BFE"/>
    <w:rsid w:val="002D7E22"/>
    <w:rsid w:val="002E05CF"/>
    <w:rsid w:val="002E098B"/>
    <w:rsid w:val="002E1954"/>
    <w:rsid w:val="002E1FC1"/>
    <w:rsid w:val="002E2ECD"/>
    <w:rsid w:val="002E400F"/>
    <w:rsid w:val="002E462A"/>
    <w:rsid w:val="002E4830"/>
    <w:rsid w:val="002E4F0E"/>
    <w:rsid w:val="002E4F93"/>
    <w:rsid w:val="002E59D8"/>
    <w:rsid w:val="002E5ABD"/>
    <w:rsid w:val="002E5AC9"/>
    <w:rsid w:val="002E6051"/>
    <w:rsid w:val="002E646D"/>
    <w:rsid w:val="002E6560"/>
    <w:rsid w:val="002E6869"/>
    <w:rsid w:val="002F075B"/>
    <w:rsid w:val="002F125C"/>
    <w:rsid w:val="002F1C5C"/>
    <w:rsid w:val="002F25AB"/>
    <w:rsid w:val="002F2890"/>
    <w:rsid w:val="002F3053"/>
    <w:rsid w:val="002F331E"/>
    <w:rsid w:val="002F34D2"/>
    <w:rsid w:val="002F372C"/>
    <w:rsid w:val="002F3963"/>
    <w:rsid w:val="002F3F67"/>
    <w:rsid w:val="002F4065"/>
    <w:rsid w:val="002F43C9"/>
    <w:rsid w:val="002F459D"/>
    <w:rsid w:val="002F5604"/>
    <w:rsid w:val="002F5797"/>
    <w:rsid w:val="002F6287"/>
    <w:rsid w:val="002F6463"/>
    <w:rsid w:val="002F670F"/>
    <w:rsid w:val="002F6EE5"/>
    <w:rsid w:val="002F7DE9"/>
    <w:rsid w:val="003000D9"/>
    <w:rsid w:val="003008DE"/>
    <w:rsid w:val="00300AC6"/>
    <w:rsid w:val="00300D02"/>
    <w:rsid w:val="00301124"/>
    <w:rsid w:val="003025F6"/>
    <w:rsid w:val="003032E6"/>
    <w:rsid w:val="00303BFB"/>
    <w:rsid w:val="003049CE"/>
    <w:rsid w:val="00304CA0"/>
    <w:rsid w:val="003064A5"/>
    <w:rsid w:val="00306825"/>
    <w:rsid w:val="00306B5F"/>
    <w:rsid w:val="00306CAA"/>
    <w:rsid w:val="003076E4"/>
    <w:rsid w:val="00307718"/>
    <w:rsid w:val="00307B2E"/>
    <w:rsid w:val="00310598"/>
    <w:rsid w:val="00310ADD"/>
    <w:rsid w:val="003112AF"/>
    <w:rsid w:val="003114EF"/>
    <w:rsid w:val="00311F21"/>
    <w:rsid w:val="00312451"/>
    <w:rsid w:val="00312765"/>
    <w:rsid w:val="00312BC1"/>
    <w:rsid w:val="00312CAA"/>
    <w:rsid w:val="00313723"/>
    <w:rsid w:val="00314784"/>
    <w:rsid w:val="00314B1A"/>
    <w:rsid w:val="00314B4A"/>
    <w:rsid w:val="00315689"/>
    <w:rsid w:val="00315C9A"/>
    <w:rsid w:val="00315EF2"/>
    <w:rsid w:val="003172FC"/>
    <w:rsid w:val="003175BC"/>
    <w:rsid w:val="00317912"/>
    <w:rsid w:val="0032031D"/>
    <w:rsid w:val="00320BB2"/>
    <w:rsid w:val="003210A0"/>
    <w:rsid w:val="0032177B"/>
    <w:rsid w:val="00321B7D"/>
    <w:rsid w:val="00322041"/>
    <w:rsid w:val="00322674"/>
    <w:rsid w:val="00322B23"/>
    <w:rsid w:val="00322F76"/>
    <w:rsid w:val="00323C7E"/>
    <w:rsid w:val="00324347"/>
    <w:rsid w:val="00324ACB"/>
    <w:rsid w:val="00324CC6"/>
    <w:rsid w:val="00325308"/>
    <w:rsid w:val="00325F9B"/>
    <w:rsid w:val="00327105"/>
    <w:rsid w:val="00327115"/>
    <w:rsid w:val="0032732B"/>
    <w:rsid w:val="00327528"/>
    <w:rsid w:val="003278E0"/>
    <w:rsid w:val="003308DD"/>
    <w:rsid w:val="003309D4"/>
    <w:rsid w:val="0033139A"/>
    <w:rsid w:val="00331C60"/>
    <w:rsid w:val="00332765"/>
    <w:rsid w:val="00332DE6"/>
    <w:rsid w:val="00333139"/>
    <w:rsid w:val="00333365"/>
    <w:rsid w:val="00333B6B"/>
    <w:rsid w:val="003341C2"/>
    <w:rsid w:val="00334738"/>
    <w:rsid w:val="003354CE"/>
    <w:rsid w:val="0033684E"/>
    <w:rsid w:val="00337686"/>
    <w:rsid w:val="00337D08"/>
    <w:rsid w:val="00341BB9"/>
    <w:rsid w:val="00341DAF"/>
    <w:rsid w:val="00343680"/>
    <w:rsid w:val="00343B08"/>
    <w:rsid w:val="003446B3"/>
    <w:rsid w:val="00345A85"/>
    <w:rsid w:val="00345F90"/>
    <w:rsid w:val="003469B8"/>
    <w:rsid w:val="00347A3F"/>
    <w:rsid w:val="00350AAB"/>
    <w:rsid w:val="00351220"/>
    <w:rsid w:val="0035184A"/>
    <w:rsid w:val="00352040"/>
    <w:rsid w:val="0035251C"/>
    <w:rsid w:val="00352CD0"/>
    <w:rsid w:val="00352D5C"/>
    <w:rsid w:val="00353049"/>
    <w:rsid w:val="0035313D"/>
    <w:rsid w:val="00353148"/>
    <w:rsid w:val="00353342"/>
    <w:rsid w:val="00354A22"/>
    <w:rsid w:val="00354DE8"/>
    <w:rsid w:val="00356B83"/>
    <w:rsid w:val="00357109"/>
    <w:rsid w:val="00357252"/>
    <w:rsid w:val="00357D57"/>
    <w:rsid w:val="003607DB"/>
    <w:rsid w:val="0036114B"/>
    <w:rsid w:val="003619B8"/>
    <w:rsid w:val="00361F39"/>
    <w:rsid w:val="003623EA"/>
    <w:rsid w:val="003624A5"/>
    <w:rsid w:val="00362756"/>
    <w:rsid w:val="0036337E"/>
    <w:rsid w:val="00364629"/>
    <w:rsid w:val="003648F4"/>
    <w:rsid w:val="003653FB"/>
    <w:rsid w:val="00365895"/>
    <w:rsid w:val="00365E87"/>
    <w:rsid w:val="00366998"/>
    <w:rsid w:val="00366B4F"/>
    <w:rsid w:val="00367C8B"/>
    <w:rsid w:val="00370607"/>
    <w:rsid w:val="00370DC6"/>
    <w:rsid w:val="00370EB1"/>
    <w:rsid w:val="00371467"/>
    <w:rsid w:val="0037182C"/>
    <w:rsid w:val="00372994"/>
    <w:rsid w:val="003739E4"/>
    <w:rsid w:val="00374386"/>
    <w:rsid w:val="0037486F"/>
    <w:rsid w:val="00375110"/>
    <w:rsid w:val="00375FAD"/>
    <w:rsid w:val="0037682F"/>
    <w:rsid w:val="003768BA"/>
    <w:rsid w:val="0037694B"/>
    <w:rsid w:val="003779CA"/>
    <w:rsid w:val="00377A75"/>
    <w:rsid w:val="00380246"/>
    <w:rsid w:val="0038052E"/>
    <w:rsid w:val="0038108F"/>
    <w:rsid w:val="0038165E"/>
    <w:rsid w:val="0038172E"/>
    <w:rsid w:val="00381E6F"/>
    <w:rsid w:val="0038209D"/>
    <w:rsid w:val="003821C1"/>
    <w:rsid w:val="0038310C"/>
    <w:rsid w:val="00384515"/>
    <w:rsid w:val="0038499A"/>
    <w:rsid w:val="00384AB5"/>
    <w:rsid w:val="003866E6"/>
    <w:rsid w:val="00386D23"/>
    <w:rsid w:val="00387149"/>
    <w:rsid w:val="00387A2C"/>
    <w:rsid w:val="00387FC6"/>
    <w:rsid w:val="00390FCC"/>
    <w:rsid w:val="00391572"/>
    <w:rsid w:val="00391BC5"/>
    <w:rsid w:val="003926CC"/>
    <w:rsid w:val="0039285B"/>
    <w:rsid w:val="00393E76"/>
    <w:rsid w:val="00394050"/>
    <w:rsid w:val="003948AA"/>
    <w:rsid w:val="003949F9"/>
    <w:rsid w:val="00394C5A"/>
    <w:rsid w:val="0039529B"/>
    <w:rsid w:val="003953FC"/>
    <w:rsid w:val="00395A5B"/>
    <w:rsid w:val="00395AE0"/>
    <w:rsid w:val="00396E35"/>
    <w:rsid w:val="003972FC"/>
    <w:rsid w:val="00397AE1"/>
    <w:rsid w:val="003A030C"/>
    <w:rsid w:val="003A04A3"/>
    <w:rsid w:val="003A085B"/>
    <w:rsid w:val="003A0C11"/>
    <w:rsid w:val="003A1A58"/>
    <w:rsid w:val="003A2606"/>
    <w:rsid w:val="003A273B"/>
    <w:rsid w:val="003A28F3"/>
    <w:rsid w:val="003A3D6E"/>
    <w:rsid w:val="003A4092"/>
    <w:rsid w:val="003A4CCF"/>
    <w:rsid w:val="003A4D91"/>
    <w:rsid w:val="003A4FD6"/>
    <w:rsid w:val="003A5944"/>
    <w:rsid w:val="003A5AA1"/>
    <w:rsid w:val="003A6416"/>
    <w:rsid w:val="003A6E0B"/>
    <w:rsid w:val="003A7659"/>
    <w:rsid w:val="003A7729"/>
    <w:rsid w:val="003A781F"/>
    <w:rsid w:val="003A7AAE"/>
    <w:rsid w:val="003B003A"/>
    <w:rsid w:val="003B0BE9"/>
    <w:rsid w:val="003B0CC0"/>
    <w:rsid w:val="003B0E1F"/>
    <w:rsid w:val="003B10AC"/>
    <w:rsid w:val="003B1110"/>
    <w:rsid w:val="003B12AF"/>
    <w:rsid w:val="003B17E4"/>
    <w:rsid w:val="003B1990"/>
    <w:rsid w:val="003B306C"/>
    <w:rsid w:val="003B4890"/>
    <w:rsid w:val="003B5701"/>
    <w:rsid w:val="003B6100"/>
    <w:rsid w:val="003B6C51"/>
    <w:rsid w:val="003B738B"/>
    <w:rsid w:val="003C03E3"/>
    <w:rsid w:val="003C0A03"/>
    <w:rsid w:val="003C1090"/>
    <w:rsid w:val="003C10F4"/>
    <w:rsid w:val="003C13E8"/>
    <w:rsid w:val="003C2257"/>
    <w:rsid w:val="003C2A0E"/>
    <w:rsid w:val="003C311E"/>
    <w:rsid w:val="003C351D"/>
    <w:rsid w:val="003C46E5"/>
    <w:rsid w:val="003C4703"/>
    <w:rsid w:val="003C4994"/>
    <w:rsid w:val="003C5B34"/>
    <w:rsid w:val="003C6D09"/>
    <w:rsid w:val="003C6DE6"/>
    <w:rsid w:val="003C6F58"/>
    <w:rsid w:val="003C7508"/>
    <w:rsid w:val="003C7847"/>
    <w:rsid w:val="003C7E8C"/>
    <w:rsid w:val="003D1A07"/>
    <w:rsid w:val="003D1DA2"/>
    <w:rsid w:val="003D1E12"/>
    <w:rsid w:val="003D21B4"/>
    <w:rsid w:val="003D30C9"/>
    <w:rsid w:val="003D341E"/>
    <w:rsid w:val="003D4A18"/>
    <w:rsid w:val="003E10F9"/>
    <w:rsid w:val="003E1ADB"/>
    <w:rsid w:val="003E2193"/>
    <w:rsid w:val="003E2D7E"/>
    <w:rsid w:val="003E3D33"/>
    <w:rsid w:val="003E473B"/>
    <w:rsid w:val="003E58D5"/>
    <w:rsid w:val="003E5C23"/>
    <w:rsid w:val="003E72C3"/>
    <w:rsid w:val="003E74BD"/>
    <w:rsid w:val="003E76BE"/>
    <w:rsid w:val="003E7A7B"/>
    <w:rsid w:val="003F13DE"/>
    <w:rsid w:val="003F1606"/>
    <w:rsid w:val="003F19C4"/>
    <w:rsid w:val="003F26F4"/>
    <w:rsid w:val="003F2E9E"/>
    <w:rsid w:val="003F3209"/>
    <w:rsid w:val="003F4446"/>
    <w:rsid w:val="003F4CF5"/>
    <w:rsid w:val="003F64E1"/>
    <w:rsid w:val="003F67CF"/>
    <w:rsid w:val="003F6D3C"/>
    <w:rsid w:val="003F6F83"/>
    <w:rsid w:val="003F7309"/>
    <w:rsid w:val="003F7568"/>
    <w:rsid w:val="003F760D"/>
    <w:rsid w:val="003F7D2E"/>
    <w:rsid w:val="00401429"/>
    <w:rsid w:val="004016BE"/>
    <w:rsid w:val="00401945"/>
    <w:rsid w:val="0040300C"/>
    <w:rsid w:val="004030E0"/>
    <w:rsid w:val="004047D7"/>
    <w:rsid w:val="00405628"/>
    <w:rsid w:val="00405EF5"/>
    <w:rsid w:val="00406B50"/>
    <w:rsid w:val="00406DBD"/>
    <w:rsid w:val="00406E34"/>
    <w:rsid w:val="004071DF"/>
    <w:rsid w:val="00407613"/>
    <w:rsid w:val="00407927"/>
    <w:rsid w:val="00410534"/>
    <w:rsid w:val="004112B4"/>
    <w:rsid w:val="00411916"/>
    <w:rsid w:val="00412CE6"/>
    <w:rsid w:val="0041436A"/>
    <w:rsid w:val="00414D77"/>
    <w:rsid w:val="00414E09"/>
    <w:rsid w:val="00415DD6"/>
    <w:rsid w:val="00415F05"/>
    <w:rsid w:val="004163A8"/>
    <w:rsid w:val="004163BB"/>
    <w:rsid w:val="00416992"/>
    <w:rsid w:val="00416BE3"/>
    <w:rsid w:val="004173FB"/>
    <w:rsid w:val="0041755A"/>
    <w:rsid w:val="00417F2D"/>
    <w:rsid w:val="00421B2D"/>
    <w:rsid w:val="0042288D"/>
    <w:rsid w:val="00422D13"/>
    <w:rsid w:val="004231C5"/>
    <w:rsid w:val="004236C3"/>
    <w:rsid w:val="00423893"/>
    <w:rsid w:val="00423A15"/>
    <w:rsid w:val="00423DC0"/>
    <w:rsid w:val="00423FB8"/>
    <w:rsid w:val="00426269"/>
    <w:rsid w:val="004264DF"/>
    <w:rsid w:val="00427362"/>
    <w:rsid w:val="004276A0"/>
    <w:rsid w:val="00427849"/>
    <w:rsid w:val="00431126"/>
    <w:rsid w:val="004312D4"/>
    <w:rsid w:val="00432148"/>
    <w:rsid w:val="004332E6"/>
    <w:rsid w:val="004337D5"/>
    <w:rsid w:val="00433BAD"/>
    <w:rsid w:val="00434862"/>
    <w:rsid w:val="004357C4"/>
    <w:rsid w:val="004403C6"/>
    <w:rsid w:val="004407A9"/>
    <w:rsid w:val="00440D69"/>
    <w:rsid w:val="00441498"/>
    <w:rsid w:val="00441B65"/>
    <w:rsid w:val="00442272"/>
    <w:rsid w:val="00442870"/>
    <w:rsid w:val="00442B4B"/>
    <w:rsid w:val="00442B89"/>
    <w:rsid w:val="00442D02"/>
    <w:rsid w:val="00443B2A"/>
    <w:rsid w:val="00443E03"/>
    <w:rsid w:val="0044404E"/>
    <w:rsid w:val="00444281"/>
    <w:rsid w:val="004452E9"/>
    <w:rsid w:val="004454E3"/>
    <w:rsid w:val="00445DCB"/>
    <w:rsid w:val="004465C8"/>
    <w:rsid w:val="004471E4"/>
    <w:rsid w:val="004474E9"/>
    <w:rsid w:val="0045031A"/>
    <w:rsid w:val="00450321"/>
    <w:rsid w:val="00452090"/>
    <w:rsid w:val="00452187"/>
    <w:rsid w:val="004532F9"/>
    <w:rsid w:val="00454327"/>
    <w:rsid w:val="00454E68"/>
    <w:rsid w:val="00454ECC"/>
    <w:rsid w:val="0045576B"/>
    <w:rsid w:val="004569D9"/>
    <w:rsid w:val="00456DC5"/>
    <w:rsid w:val="00457939"/>
    <w:rsid w:val="004579E1"/>
    <w:rsid w:val="00457BE1"/>
    <w:rsid w:val="004601E7"/>
    <w:rsid w:val="004604E5"/>
    <w:rsid w:val="00460BEE"/>
    <w:rsid w:val="00461684"/>
    <w:rsid w:val="00461AB8"/>
    <w:rsid w:val="00462383"/>
    <w:rsid w:val="004633C9"/>
    <w:rsid w:val="0046371D"/>
    <w:rsid w:val="00463DFA"/>
    <w:rsid w:val="00464325"/>
    <w:rsid w:val="004643A1"/>
    <w:rsid w:val="00464519"/>
    <w:rsid w:val="0046507A"/>
    <w:rsid w:val="004652A8"/>
    <w:rsid w:val="00466AEB"/>
    <w:rsid w:val="0046718A"/>
    <w:rsid w:val="00467739"/>
    <w:rsid w:val="0046775A"/>
    <w:rsid w:val="0047064D"/>
    <w:rsid w:val="00470D0C"/>
    <w:rsid w:val="00470E82"/>
    <w:rsid w:val="004712BC"/>
    <w:rsid w:val="00472A5E"/>
    <w:rsid w:val="00472B64"/>
    <w:rsid w:val="00472F47"/>
    <w:rsid w:val="0047373B"/>
    <w:rsid w:val="00474073"/>
    <w:rsid w:val="00474FCE"/>
    <w:rsid w:val="00475A4F"/>
    <w:rsid w:val="00475A53"/>
    <w:rsid w:val="00475BDF"/>
    <w:rsid w:val="004771E7"/>
    <w:rsid w:val="00477338"/>
    <w:rsid w:val="004779DA"/>
    <w:rsid w:val="00477B1B"/>
    <w:rsid w:val="00477D92"/>
    <w:rsid w:val="00480E18"/>
    <w:rsid w:val="00481D69"/>
    <w:rsid w:val="00481F45"/>
    <w:rsid w:val="0048249A"/>
    <w:rsid w:val="004827F7"/>
    <w:rsid w:val="00482B37"/>
    <w:rsid w:val="004831A6"/>
    <w:rsid w:val="0048323B"/>
    <w:rsid w:val="004834E8"/>
    <w:rsid w:val="0048403A"/>
    <w:rsid w:val="00484066"/>
    <w:rsid w:val="00484592"/>
    <w:rsid w:val="00484A8B"/>
    <w:rsid w:val="00486A6E"/>
    <w:rsid w:val="004875EC"/>
    <w:rsid w:val="00490293"/>
    <w:rsid w:val="00490D54"/>
    <w:rsid w:val="00491270"/>
    <w:rsid w:val="00491AAD"/>
    <w:rsid w:val="00491B6B"/>
    <w:rsid w:val="00491F12"/>
    <w:rsid w:val="00492307"/>
    <w:rsid w:val="00492325"/>
    <w:rsid w:val="00492433"/>
    <w:rsid w:val="00493D7E"/>
    <w:rsid w:val="004943A3"/>
    <w:rsid w:val="00494FF5"/>
    <w:rsid w:val="0049629D"/>
    <w:rsid w:val="00496875"/>
    <w:rsid w:val="00497EF9"/>
    <w:rsid w:val="004A11EA"/>
    <w:rsid w:val="004A4DB8"/>
    <w:rsid w:val="004A561B"/>
    <w:rsid w:val="004A567F"/>
    <w:rsid w:val="004A6EAC"/>
    <w:rsid w:val="004A73B7"/>
    <w:rsid w:val="004A7505"/>
    <w:rsid w:val="004B080D"/>
    <w:rsid w:val="004B10C4"/>
    <w:rsid w:val="004B15E3"/>
    <w:rsid w:val="004B19A1"/>
    <w:rsid w:val="004B19F3"/>
    <w:rsid w:val="004B1F11"/>
    <w:rsid w:val="004B299B"/>
    <w:rsid w:val="004B368E"/>
    <w:rsid w:val="004B3CF2"/>
    <w:rsid w:val="004B4F68"/>
    <w:rsid w:val="004B5B02"/>
    <w:rsid w:val="004B6AF8"/>
    <w:rsid w:val="004B6BA9"/>
    <w:rsid w:val="004B6F31"/>
    <w:rsid w:val="004B7738"/>
    <w:rsid w:val="004B78F3"/>
    <w:rsid w:val="004C09A0"/>
    <w:rsid w:val="004C0D06"/>
    <w:rsid w:val="004C1361"/>
    <w:rsid w:val="004C144B"/>
    <w:rsid w:val="004C1A59"/>
    <w:rsid w:val="004C1DBC"/>
    <w:rsid w:val="004C288A"/>
    <w:rsid w:val="004C2AB7"/>
    <w:rsid w:val="004C3138"/>
    <w:rsid w:val="004C332E"/>
    <w:rsid w:val="004C396D"/>
    <w:rsid w:val="004C3C17"/>
    <w:rsid w:val="004C4273"/>
    <w:rsid w:val="004C5B1E"/>
    <w:rsid w:val="004C6DCC"/>
    <w:rsid w:val="004C72A3"/>
    <w:rsid w:val="004C791F"/>
    <w:rsid w:val="004C7A9F"/>
    <w:rsid w:val="004C7B31"/>
    <w:rsid w:val="004D01E7"/>
    <w:rsid w:val="004D0483"/>
    <w:rsid w:val="004D0496"/>
    <w:rsid w:val="004D1DE5"/>
    <w:rsid w:val="004D1E2F"/>
    <w:rsid w:val="004D2259"/>
    <w:rsid w:val="004D28CA"/>
    <w:rsid w:val="004D3786"/>
    <w:rsid w:val="004D3EA5"/>
    <w:rsid w:val="004D47A9"/>
    <w:rsid w:val="004D4A7F"/>
    <w:rsid w:val="004D4C72"/>
    <w:rsid w:val="004D69D0"/>
    <w:rsid w:val="004D718D"/>
    <w:rsid w:val="004D725D"/>
    <w:rsid w:val="004D744A"/>
    <w:rsid w:val="004D7D12"/>
    <w:rsid w:val="004D7EC0"/>
    <w:rsid w:val="004E00A3"/>
    <w:rsid w:val="004E170A"/>
    <w:rsid w:val="004E2111"/>
    <w:rsid w:val="004E23C1"/>
    <w:rsid w:val="004E2C59"/>
    <w:rsid w:val="004E3052"/>
    <w:rsid w:val="004E3492"/>
    <w:rsid w:val="004E375B"/>
    <w:rsid w:val="004E456F"/>
    <w:rsid w:val="004E45FC"/>
    <w:rsid w:val="004E52B5"/>
    <w:rsid w:val="004E5DA1"/>
    <w:rsid w:val="004E5F82"/>
    <w:rsid w:val="004E69F1"/>
    <w:rsid w:val="004E6A8D"/>
    <w:rsid w:val="004E7288"/>
    <w:rsid w:val="004E7347"/>
    <w:rsid w:val="004E79D7"/>
    <w:rsid w:val="004E7B62"/>
    <w:rsid w:val="004E7D7F"/>
    <w:rsid w:val="004F0B9C"/>
    <w:rsid w:val="004F0D8A"/>
    <w:rsid w:val="004F233A"/>
    <w:rsid w:val="004F23CB"/>
    <w:rsid w:val="004F24AF"/>
    <w:rsid w:val="004F3074"/>
    <w:rsid w:val="004F4455"/>
    <w:rsid w:val="004F4764"/>
    <w:rsid w:val="004F4CC1"/>
    <w:rsid w:val="004F5EBC"/>
    <w:rsid w:val="004F6B6B"/>
    <w:rsid w:val="004F7083"/>
    <w:rsid w:val="004F774D"/>
    <w:rsid w:val="00500121"/>
    <w:rsid w:val="005006B8"/>
    <w:rsid w:val="00500FFE"/>
    <w:rsid w:val="0050103C"/>
    <w:rsid w:val="005011D3"/>
    <w:rsid w:val="00501210"/>
    <w:rsid w:val="005016E9"/>
    <w:rsid w:val="00501F28"/>
    <w:rsid w:val="00502160"/>
    <w:rsid w:val="005029D6"/>
    <w:rsid w:val="00502AC3"/>
    <w:rsid w:val="005031A7"/>
    <w:rsid w:val="00503568"/>
    <w:rsid w:val="00503D03"/>
    <w:rsid w:val="00504207"/>
    <w:rsid w:val="00504B96"/>
    <w:rsid w:val="00504EEF"/>
    <w:rsid w:val="00505024"/>
    <w:rsid w:val="00505815"/>
    <w:rsid w:val="00505E75"/>
    <w:rsid w:val="005071FD"/>
    <w:rsid w:val="00507D87"/>
    <w:rsid w:val="0051013C"/>
    <w:rsid w:val="00510755"/>
    <w:rsid w:val="00510D28"/>
    <w:rsid w:val="00511DCC"/>
    <w:rsid w:val="005121FB"/>
    <w:rsid w:val="00512723"/>
    <w:rsid w:val="00512782"/>
    <w:rsid w:val="00512E8E"/>
    <w:rsid w:val="00512F91"/>
    <w:rsid w:val="00513153"/>
    <w:rsid w:val="00513408"/>
    <w:rsid w:val="00514D60"/>
    <w:rsid w:val="0051646F"/>
    <w:rsid w:val="00517531"/>
    <w:rsid w:val="005178C1"/>
    <w:rsid w:val="00521033"/>
    <w:rsid w:val="00521C90"/>
    <w:rsid w:val="005228D4"/>
    <w:rsid w:val="00522DB6"/>
    <w:rsid w:val="00522E24"/>
    <w:rsid w:val="005232E1"/>
    <w:rsid w:val="005248E7"/>
    <w:rsid w:val="005252CF"/>
    <w:rsid w:val="0052583C"/>
    <w:rsid w:val="005260D3"/>
    <w:rsid w:val="005260DA"/>
    <w:rsid w:val="00526845"/>
    <w:rsid w:val="00526C0F"/>
    <w:rsid w:val="00526C75"/>
    <w:rsid w:val="00530915"/>
    <w:rsid w:val="00531475"/>
    <w:rsid w:val="00531DAB"/>
    <w:rsid w:val="00533D0F"/>
    <w:rsid w:val="00534A4B"/>
    <w:rsid w:val="00534DE5"/>
    <w:rsid w:val="0053519D"/>
    <w:rsid w:val="005353DB"/>
    <w:rsid w:val="00535C54"/>
    <w:rsid w:val="005366E1"/>
    <w:rsid w:val="00537177"/>
    <w:rsid w:val="005372C3"/>
    <w:rsid w:val="00537A46"/>
    <w:rsid w:val="005400E9"/>
    <w:rsid w:val="005403B6"/>
    <w:rsid w:val="00540969"/>
    <w:rsid w:val="0054112C"/>
    <w:rsid w:val="0054130D"/>
    <w:rsid w:val="00541837"/>
    <w:rsid w:val="00541BC9"/>
    <w:rsid w:val="00542680"/>
    <w:rsid w:val="00542820"/>
    <w:rsid w:val="00542D3B"/>
    <w:rsid w:val="00543080"/>
    <w:rsid w:val="0054360F"/>
    <w:rsid w:val="00543DC8"/>
    <w:rsid w:val="00543EF5"/>
    <w:rsid w:val="00544933"/>
    <w:rsid w:val="00544B89"/>
    <w:rsid w:val="0054550A"/>
    <w:rsid w:val="005459F4"/>
    <w:rsid w:val="0054636B"/>
    <w:rsid w:val="00547C83"/>
    <w:rsid w:val="00550869"/>
    <w:rsid w:val="005508FE"/>
    <w:rsid w:val="0055125E"/>
    <w:rsid w:val="005513C5"/>
    <w:rsid w:val="00551772"/>
    <w:rsid w:val="00551A7C"/>
    <w:rsid w:val="00551DD1"/>
    <w:rsid w:val="0055273C"/>
    <w:rsid w:val="00552899"/>
    <w:rsid w:val="00552D7D"/>
    <w:rsid w:val="00553239"/>
    <w:rsid w:val="0055393C"/>
    <w:rsid w:val="00554177"/>
    <w:rsid w:val="00554789"/>
    <w:rsid w:val="00554DD1"/>
    <w:rsid w:val="00555217"/>
    <w:rsid w:val="00555286"/>
    <w:rsid w:val="00555851"/>
    <w:rsid w:val="00556902"/>
    <w:rsid w:val="00557212"/>
    <w:rsid w:val="0055744B"/>
    <w:rsid w:val="00557630"/>
    <w:rsid w:val="00557B4B"/>
    <w:rsid w:val="00560080"/>
    <w:rsid w:val="00560BF7"/>
    <w:rsid w:val="0056141C"/>
    <w:rsid w:val="00561661"/>
    <w:rsid w:val="005617A4"/>
    <w:rsid w:val="00561C5D"/>
    <w:rsid w:val="00563AC8"/>
    <w:rsid w:val="005642F9"/>
    <w:rsid w:val="00564402"/>
    <w:rsid w:val="0056469E"/>
    <w:rsid w:val="0056537B"/>
    <w:rsid w:val="00565889"/>
    <w:rsid w:val="005666F3"/>
    <w:rsid w:val="005675F3"/>
    <w:rsid w:val="0057075E"/>
    <w:rsid w:val="00571A66"/>
    <w:rsid w:val="00572074"/>
    <w:rsid w:val="00572357"/>
    <w:rsid w:val="00572CA7"/>
    <w:rsid w:val="00572F7C"/>
    <w:rsid w:val="0057304F"/>
    <w:rsid w:val="00573132"/>
    <w:rsid w:val="00573918"/>
    <w:rsid w:val="005756E3"/>
    <w:rsid w:val="0057585B"/>
    <w:rsid w:val="0057652A"/>
    <w:rsid w:val="00576BA6"/>
    <w:rsid w:val="00576BC2"/>
    <w:rsid w:val="00576D12"/>
    <w:rsid w:val="00580732"/>
    <w:rsid w:val="00581EE5"/>
    <w:rsid w:val="00581F57"/>
    <w:rsid w:val="00582304"/>
    <w:rsid w:val="0058301E"/>
    <w:rsid w:val="00583294"/>
    <w:rsid w:val="00583BA5"/>
    <w:rsid w:val="00583D4D"/>
    <w:rsid w:val="005843A0"/>
    <w:rsid w:val="00584808"/>
    <w:rsid w:val="00585A10"/>
    <w:rsid w:val="00585B79"/>
    <w:rsid w:val="00587162"/>
    <w:rsid w:val="0058773E"/>
    <w:rsid w:val="00587F4C"/>
    <w:rsid w:val="00590F0D"/>
    <w:rsid w:val="00591ABD"/>
    <w:rsid w:val="00591B27"/>
    <w:rsid w:val="00592157"/>
    <w:rsid w:val="005930E1"/>
    <w:rsid w:val="00595028"/>
    <w:rsid w:val="00595626"/>
    <w:rsid w:val="0059563A"/>
    <w:rsid w:val="005959CB"/>
    <w:rsid w:val="00595A4D"/>
    <w:rsid w:val="0059616F"/>
    <w:rsid w:val="0059679A"/>
    <w:rsid w:val="00596AED"/>
    <w:rsid w:val="00596E21"/>
    <w:rsid w:val="005973ED"/>
    <w:rsid w:val="00597C35"/>
    <w:rsid w:val="005A0817"/>
    <w:rsid w:val="005A1348"/>
    <w:rsid w:val="005A1F27"/>
    <w:rsid w:val="005A2079"/>
    <w:rsid w:val="005A2E01"/>
    <w:rsid w:val="005A3542"/>
    <w:rsid w:val="005A3F95"/>
    <w:rsid w:val="005A44B0"/>
    <w:rsid w:val="005A4772"/>
    <w:rsid w:val="005A4C3D"/>
    <w:rsid w:val="005A52FE"/>
    <w:rsid w:val="005A551B"/>
    <w:rsid w:val="005A61FC"/>
    <w:rsid w:val="005A6AED"/>
    <w:rsid w:val="005B0616"/>
    <w:rsid w:val="005B0F29"/>
    <w:rsid w:val="005B1072"/>
    <w:rsid w:val="005B141B"/>
    <w:rsid w:val="005B1CAF"/>
    <w:rsid w:val="005B1E75"/>
    <w:rsid w:val="005B2199"/>
    <w:rsid w:val="005B293D"/>
    <w:rsid w:val="005B3C1C"/>
    <w:rsid w:val="005B3C85"/>
    <w:rsid w:val="005B417B"/>
    <w:rsid w:val="005B4987"/>
    <w:rsid w:val="005B4B28"/>
    <w:rsid w:val="005B4FCF"/>
    <w:rsid w:val="005B5D09"/>
    <w:rsid w:val="005B6213"/>
    <w:rsid w:val="005B7FA8"/>
    <w:rsid w:val="005C041D"/>
    <w:rsid w:val="005C09BC"/>
    <w:rsid w:val="005C09CD"/>
    <w:rsid w:val="005C0C80"/>
    <w:rsid w:val="005C0CE2"/>
    <w:rsid w:val="005C15AB"/>
    <w:rsid w:val="005C15D3"/>
    <w:rsid w:val="005C18CA"/>
    <w:rsid w:val="005C1E51"/>
    <w:rsid w:val="005C29C9"/>
    <w:rsid w:val="005C2AC4"/>
    <w:rsid w:val="005C3ADC"/>
    <w:rsid w:val="005C4D70"/>
    <w:rsid w:val="005C4EB8"/>
    <w:rsid w:val="005C5348"/>
    <w:rsid w:val="005C5A50"/>
    <w:rsid w:val="005C6D3D"/>
    <w:rsid w:val="005C70F4"/>
    <w:rsid w:val="005C729D"/>
    <w:rsid w:val="005C752B"/>
    <w:rsid w:val="005C7862"/>
    <w:rsid w:val="005D09CF"/>
    <w:rsid w:val="005D0F92"/>
    <w:rsid w:val="005D10E4"/>
    <w:rsid w:val="005D2BA7"/>
    <w:rsid w:val="005D3BD2"/>
    <w:rsid w:val="005D4B37"/>
    <w:rsid w:val="005E07CB"/>
    <w:rsid w:val="005E0E13"/>
    <w:rsid w:val="005E0E78"/>
    <w:rsid w:val="005E3037"/>
    <w:rsid w:val="005E3151"/>
    <w:rsid w:val="005E3C00"/>
    <w:rsid w:val="005E3D1E"/>
    <w:rsid w:val="005E48E4"/>
    <w:rsid w:val="005E5204"/>
    <w:rsid w:val="005E6D31"/>
    <w:rsid w:val="005E6E42"/>
    <w:rsid w:val="005E73E2"/>
    <w:rsid w:val="005E7CFC"/>
    <w:rsid w:val="005F08B9"/>
    <w:rsid w:val="005F24A0"/>
    <w:rsid w:val="005F2C91"/>
    <w:rsid w:val="005F2DD8"/>
    <w:rsid w:val="005F35BE"/>
    <w:rsid w:val="005F3F4C"/>
    <w:rsid w:val="005F4E96"/>
    <w:rsid w:val="005F55A3"/>
    <w:rsid w:val="005F6895"/>
    <w:rsid w:val="005F6B0E"/>
    <w:rsid w:val="005F6D38"/>
    <w:rsid w:val="005F7DAB"/>
    <w:rsid w:val="00600112"/>
    <w:rsid w:val="006008F1"/>
    <w:rsid w:val="00600A2D"/>
    <w:rsid w:val="0060169C"/>
    <w:rsid w:val="00601C80"/>
    <w:rsid w:val="00601ECA"/>
    <w:rsid w:val="006032FE"/>
    <w:rsid w:val="006035FD"/>
    <w:rsid w:val="00603D55"/>
    <w:rsid w:val="00605086"/>
    <w:rsid w:val="00605B02"/>
    <w:rsid w:val="00605F42"/>
    <w:rsid w:val="0060633E"/>
    <w:rsid w:val="0060648C"/>
    <w:rsid w:val="00607035"/>
    <w:rsid w:val="00607442"/>
    <w:rsid w:val="00607ABE"/>
    <w:rsid w:val="006103E1"/>
    <w:rsid w:val="00610AD0"/>
    <w:rsid w:val="006129D6"/>
    <w:rsid w:val="006134E7"/>
    <w:rsid w:val="006137C3"/>
    <w:rsid w:val="00615A86"/>
    <w:rsid w:val="00616B88"/>
    <w:rsid w:val="00617C11"/>
    <w:rsid w:val="0062005B"/>
    <w:rsid w:val="006210A1"/>
    <w:rsid w:val="00621BC2"/>
    <w:rsid w:val="00621CA1"/>
    <w:rsid w:val="00622559"/>
    <w:rsid w:val="00622871"/>
    <w:rsid w:val="00622C7B"/>
    <w:rsid w:val="00622E3D"/>
    <w:rsid w:val="006236FF"/>
    <w:rsid w:val="00623AD6"/>
    <w:rsid w:val="006252B6"/>
    <w:rsid w:val="00625AA3"/>
    <w:rsid w:val="0062601C"/>
    <w:rsid w:val="00626053"/>
    <w:rsid w:val="006262A2"/>
    <w:rsid w:val="0062644A"/>
    <w:rsid w:val="00626839"/>
    <w:rsid w:val="006311DB"/>
    <w:rsid w:val="00631985"/>
    <w:rsid w:val="00632074"/>
    <w:rsid w:val="00632874"/>
    <w:rsid w:val="006329EB"/>
    <w:rsid w:val="00632AD4"/>
    <w:rsid w:val="00632EF4"/>
    <w:rsid w:val="006332A6"/>
    <w:rsid w:val="006332F5"/>
    <w:rsid w:val="006334CB"/>
    <w:rsid w:val="006336FD"/>
    <w:rsid w:val="00633A05"/>
    <w:rsid w:val="00634082"/>
    <w:rsid w:val="00634125"/>
    <w:rsid w:val="0063415F"/>
    <w:rsid w:val="006346CA"/>
    <w:rsid w:val="00634B2E"/>
    <w:rsid w:val="00634DF5"/>
    <w:rsid w:val="0063525B"/>
    <w:rsid w:val="00635FD6"/>
    <w:rsid w:val="0063637C"/>
    <w:rsid w:val="0063647B"/>
    <w:rsid w:val="00636829"/>
    <w:rsid w:val="006368CB"/>
    <w:rsid w:val="00637560"/>
    <w:rsid w:val="00637660"/>
    <w:rsid w:val="00637803"/>
    <w:rsid w:val="0064116B"/>
    <w:rsid w:val="006411BF"/>
    <w:rsid w:val="00642324"/>
    <w:rsid w:val="00642651"/>
    <w:rsid w:val="00642B7C"/>
    <w:rsid w:val="00643493"/>
    <w:rsid w:val="00643E29"/>
    <w:rsid w:val="00644104"/>
    <w:rsid w:val="0064468D"/>
    <w:rsid w:val="0064591A"/>
    <w:rsid w:val="00646324"/>
    <w:rsid w:val="00650C05"/>
    <w:rsid w:val="006517F2"/>
    <w:rsid w:val="00652209"/>
    <w:rsid w:val="00653A0F"/>
    <w:rsid w:val="00653ED4"/>
    <w:rsid w:val="00654687"/>
    <w:rsid w:val="00654712"/>
    <w:rsid w:val="0065514A"/>
    <w:rsid w:val="0065590D"/>
    <w:rsid w:val="0065652B"/>
    <w:rsid w:val="006565DC"/>
    <w:rsid w:val="006566CE"/>
    <w:rsid w:val="00657062"/>
    <w:rsid w:val="006574C3"/>
    <w:rsid w:val="00657744"/>
    <w:rsid w:val="006601A3"/>
    <w:rsid w:val="006620ED"/>
    <w:rsid w:val="00662929"/>
    <w:rsid w:val="006634A2"/>
    <w:rsid w:val="006638F3"/>
    <w:rsid w:val="00663D14"/>
    <w:rsid w:val="00664D3F"/>
    <w:rsid w:val="00664ED6"/>
    <w:rsid w:val="006653FE"/>
    <w:rsid w:val="006661ED"/>
    <w:rsid w:val="006663E6"/>
    <w:rsid w:val="006663F4"/>
    <w:rsid w:val="00670486"/>
    <w:rsid w:val="006705F1"/>
    <w:rsid w:val="00670774"/>
    <w:rsid w:val="0067123D"/>
    <w:rsid w:val="0067153F"/>
    <w:rsid w:val="0067197B"/>
    <w:rsid w:val="00671E7E"/>
    <w:rsid w:val="00672595"/>
    <w:rsid w:val="006737CE"/>
    <w:rsid w:val="0067571B"/>
    <w:rsid w:val="0067578E"/>
    <w:rsid w:val="006767C8"/>
    <w:rsid w:val="006772C9"/>
    <w:rsid w:val="006775CC"/>
    <w:rsid w:val="006803B8"/>
    <w:rsid w:val="0068156B"/>
    <w:rsid w:val="00682B84"/>
    <w:rsid w:val="00683A55"/>
    <w:rsid w:val="00683FCD"/>
    <w:rsid w:val="0068420A"/>
    <w:rsid w:val="006846C1"/>
    <w:rsid w:val="006849D1"/>
    <w:rsid w:val="006851E3"/>
    <w:rsid w:val="0068627D"/>
    <w:rsid w:val="006864D2"/>
    <w:rsid w:val="0068667B"/>
    <w:rsid w:val="006866B1"/>
    <w:rsid w:val="0069178D"/>
    <w:rsid w:val="00692723"/>
    <w:rsid w:val="00692758"/>
    <w:rsid w:val="006937BF"/>
    <w:rsid w:val="0069393E"/>
    <w:rsid w:val="00693DA9"/>
    <w:rsid w:val="00694055"/>
    <w:rsid w:val="0069469D"/>
    <w:rsid w:val="00694A6F"/>
    <w:rsid w:val="00694CFA"/>
    <w:rsid w:val="00694DA1"/>
    <w:rsid w:val="00694E82"/>
    <w:rsid w:val="00695181"/>
    <w:rsid w:val="00695F32"/>
    <w:rsid w:val="00695F5D"/>
    <w:rsid w:val="006961D5"/>
    <w:rsid w:val="00696226"/>
    <w:rsid w:val="00696890"/>
    <w:rsid w:val="0069772B"/>
    <w:rsid w:val="00697EF6"/>
    <w:rsid w:val="00697F40"/>
    <w:rsid w:val="006A0450"/>
    <w:rsid w:val="006A0788"/>
    <w:rsid w:val="006A0B7F"/>
    <w:rsid w:val="006A1450"/>
    <w:rsid w:val="006A1C69"/>
    <w:rsid w:val="006A25D3"/>
    <w:rsid w:val="006A28DC"/>
    <w:rsid w:val="006A3C11"/>
    <w:rsid w:val="006A4191"/>
    <w:rsid w:val="006A42BD"/>
    <w:rsid w:val="006A48C1"/>
    <w:rsid w:val="006A4B60"/>
    <w:rsid w:val="006A6259"/>
    <w:rsid w:val="006A62F2"/>
    <w:rsid w:val="006A67AA"/>
    <w:rsid w:val="006A6E07"/>
    <w:rsid w:val="006A7224"/>
    <w:rsid w:val="006B0153"/>
    <w:rsid w:val="006B0161"/>
    <w:rsid w:val="006B0672"/>
    <w:rsid w:val="006B1AB5"/>
    <w:rsid w:val="006B26D0"/>
    <w:rsid w:val="006B2A95"/>
    <w:rsid w:val="006B3E4F"/>
    <w:rsid w:val="006B4664"/>
    <w:rsid w:val="006B56D2"/>
    <w:rsid w:val="006B5AC5"/>
    <w:rsid w:val="006B6556"/>
    <w:rsid w:val="006B75CD"/>
    <w:rsid w:val="006B78DD"/>
    <w:rsid w:val="006B7978"/>
    <w:rsid w:val="006B7C80"/>
    <w:rsid w:val="006C000B"/>
    <w:rsid w:val="006C08EA"/>
    <w:rsid w:val="006C1984"/>
    <w:rsid w:val="006C2819"/>
    <w:rsid w:val="006C33CD"/>
    <w:rsid w:val="006C4328"/>
    <w:rsid w:val="006C462C"/>
    <w:rsid w:val="006C514F"/>
    <w:rsid w:val="006C5389"/>
    <w:rsid w:val="006C5F19"/>
    <w:rsid w:val="006C626F"/>
    <w:rsid w:val="006C627B"/>
    <w:rsid w:val="006C66E7"/>
    <w:rsid w:val="006C69BF"/>
    <w:rsid w:val="006C7E26"/>
    <w:rsid w:val="006D0A3D"/>
    <w:rsid w:val="006D0F39"/>
    <w:rsid w:val="006D2504"/>
    <w:rsid w:val="006D28F2"/>
    <w:rsid w:val="006D2C2A"/>
    <w:rsid w:val="006D3CD1"/>
    <w:rsid w:val="006D4046"/>
    <w:rsid w:val="006D44D0"/>
    <w:rsid w:val="006D4633"/>
    <w:rsid w:val="006D4A67"/>
    <w:rsid w:val="006D4BE2"/>
    <w:rsid w:val="006D52D9"/>
    <w:rsid w:val="006D593F"/>
    <w:rsid w:val="006D6369"/>
    <w:rsid w:val="006D6D42"/>
    <w:rsid w:val="006E08EE"/>
    <w:rsid w:val="006E0BE8"/>
    <w:rsid w:val="006E110E"/>
    <w:rsid w:val="006E1728"/>
    <w:rsid w:val="006E1886"/>
    <w:rsid w:val="006E1CBD"/>
    <w:rsid w:val="006E2ECF"/>
    <w:rsid w:val="006E3B4E"/>
    <w:rsid w:val="006E3BAD"/>
    <w:rsid w:val="006E4378"/>
    <w:rsid w:val="006E4D01"/>
    <w:rsid w:val="006E509D"/>
    <w:rsid w:val="006E58A3"/>
    <w:rsid w:val="006E5B06"/>
    <w:rsid w:val="006E5CAD"/>
    <w:rsid w:val="006E7D0A"/>
    <w:rsid w:val="006E7D4D"/>
    <w:rsid w:val="006F0211"/>
    <w:rsid w:val="006F03DE"/>
    <w:rsid w:val="006F0A20"/>
    <w:rsid w:val="006F0E08"/>
    <w:rsid w:val="006F1D77"/>
    <w:rsid w:val="006F2065"/>
    <w:rsid w:val="006F2D3D"/>
    <w:rsid w:val="006F3910"/>
    <w:rsid w:val="006F3E8B"/>
    <w:rsid w:val="006F4288"/>
    <w:rsid w:val="006F5592"/>
    <w:rsid w:val="006F7FC6"/>
    <w:rsid w:val="007000A5"/>
    <w:rsid w:val="007002A5"/>
    <w:rsid w:val="007003D5"/>
    <w:rsid w:val="00700D6D"/>
    <w:rsid w:val="0070119E"/>
    <w:rsid w:val="0070295C"/>
    <w:rsid w:val="00703288"/>
    <w:rsid w:val="00703D28"/>
    <w:rsid w:val="0070450E"/>
    <w:rsid w:val="00704A58"/>
    <w:rsid w:val="007052F1"/>
    <w:rsid w:val="007054BA"/>
    <w:rsid w:val="007055B1"/>
    <w:rsid w:val="00705B0C"/>
    <w:rsid w:val="007060E5"/>
    <w:rsid w:val="0070626E"/>
    <w:rsid w:val="0070634C"/>
    <w:rsid w:val="00706569"/>
    <w:rsid w:val="0070675B"/>
    <w:rsid w:val="00707552"/>
    <w:rsid w:val="00707B20"/>
    <w:rsid w:val="00707F97"/>
    <w:rsid w:val="0071030C"/>
    <w:rsid w:val="00710879"/>
    <w:rsid w:val="00710914"/>
    <w:rsid w:val="00710A44"/>
    <w:rsid w:val="00710A47"/>
    <w:rsid w:val="00710DB8"/>
    <w:rsid w:val="00710F25"/>
    <w:rsid w:val="00711667"/>
    <w:rsid w:val="00713661"/>
    <w:rsid w:val="0071373A"/>
    <w:rsid w:val="007142FD"/>
    <w:rsid w:val="00714EAA"/>
    <w:rsid w:val="00714EC9"/>
    <w:rsid w:val="00714FA3"/>
    <w:rsid w:val="0071694A"/>
    <w:rsid w:val="00716A7C"/>
    <w:rsid w:val="00717ADA"/>
    <w:rsid w:val="007202A5"/>
    <w:rsid w:val="007202D7"/>
    <w:rsid w:val="007202DE"/>
    <w:rsid w:val="007207D5"/>
    <w:rsid w:val="00721265"/>
    <w:rsid w:val="00721589"/>
    <w:rsid w:val="0072178B"/>
    <w:rsid w:val="007225C8"/>
    <w:rsid w:val="0072360B"/>
    <w:rsid w:val="00723813"/>
    <w:rsid w:val="007240BB"/>
    <w:rsid w:val="007243D3"/>
    <w:rsid w:val="0072489E"/>
    <w:rsid w:val="00725431"/>
    <w:rsid w:val="007254C2"/>
    <w:rsid w:val="007260BA"/>
    <w:rsid w:val="00726B04"/>
    <w:rsid w:val="00726C84"/>
    <w:rsid w:val="00727508"/>
    <w:rsid w:val="007277E7"/>
    <w:rsid w:val="00727820"/>
    <w:rsid w:val="00727842"/>
    <w:rsid w:val="00727A2B"/>
    <w:rsid w:val="00727F3D"/>
    <w:rsid w:val="00730FB9"/>
    <w:rsid w:val="00731283"/>
    <w:rsid w:val="00731D6A"/>
    <w:rsid w:val="00732ECD"/>
    <w:rsid w:val="0073302B"/>
    <w:rsid w:val="00733501"/>
    <w:rsid w:val="00733CBE"/>
    <w:rsid w:val="00734122"/>
    <w:rsid w:val="0073445D"/>
    <w:rsid w:val="007345A4"/>
    <w:rsid w:val="00734A3C"/>
    <w:rsid w:val="00734D2C"/>
    <w:rsid w:val="00734EAF"/>
    <w:rsid w:val="00735433"/>
    <w:rsid w:val="00735DFC"/>
    <w:rsid w:val="007375F4"/>
    <w:rsid w:val="00740C90"/>
    <w:rsid w:val="00741289"/>
    <w:rsid w:val="0074187F"/>
    <w:rsid w:val="00741A97"/>
    <w:rsid w:val="00742FFF"/>
    <w:rsid w:val="00743AA6"/>
    <w:rsid w:val="00744C69"/>
    <w:rsid w:val="00745F7B"/>
    <w:rsid w:val="00746E9A"/>
    <w:rsid w:val="0074751F"/>
    <w:rsid w:val="007476D8"/>
    <w:rsid w:val="007479CC"/>
    <w:rsid w:val="00747D90"/>
    <w:rsid w:val="00750EEF"/>
    <w:rsid w:val="0075108E"/>
    <w:rsid w:val="00751305"/>
    <w:rsid w:val="00751D6E"/>
    <w:rsid w:val="00753026"/>
    <w:rsid w:val="00753CF2"/>
    <w:rsid w:val="007541B8"/>
    <w:rsid w:val="007546C4"/>
    <w:rsid w:val="00754B8D"/>
    <w:rsid w:val="00755143"/>
    <w:rsid w:val="0075516F"/>
    <w:rsid w:val="00755D21"/>
    <w:rsid w:val="00755D6A"/>
    <w:rsid w:val="00756208"/>
    <w:rsid w:val="007568CD"/>
    <w:rsid w:val="00756AE2"/>
    <w:rsid w:val="007575FF"/>
    <w:rsid w:val="00757905"/>
    <w:rsid w:val="00757D18"/>
    <w:rsid w:val="00757D37"/>
    <w:rsid w:val="00760203"/>
    <w:rsid w:val="0076179F"/>
    <w:rsid w:val="00761AC6"/>
    <w:rsid w:val="007626D0"/>
    <w:rsid w:val="00763028"/>
    <w:rsid w:val="00763324"/>
    <w:rsid w:val="007644DB"/>
    <w:rsid w:val="00764BDA"/>
    <w:rsid w:val="00764D60"/>
    <w:rsid w:val="007654C5"/>
    <w:rsid w:val="0076689C"/>
    <w:rsid w:val="00766D21"/>
    <w:rsid w:val="007671FA"/>
    <w:rsid w:val="00767673"/>
    <w:rsid w:val="0077011F"/>
    <w:rsid w:val="0077014C"/>
    <w:rsid w:val="00770586"/>
    <w:rsid w:val="0077154F"/>
    <w:rsid w:val="0077174C"/>
    <w:rsid w:val="00771B98"/>
    <w:rsid w:val="00771C59"/>
    <w:rsid w:val="00772304"/>
    <w:rsid w:val="007726DF"/>
    <w:rsid w:val="00773591"/>
    <w:rsid w:val="00774179"/>
    <w:rsid w:val="00774987"/>
    <w:rsid w:val="00774AE7"/>
    <w:rsid w:val="00774C24"/>
    <w:rsid w:val="00775097"/>
    <w:rsid w:val="007752FF"/>
    <w:rsid w:val="007760AE"/>
    <w:rsid w:val="0077685C"/>
    <w:rsid w:val="00776B37"/>
    <w:rsid w:val="00777126"/>
    <w:rsid w:val="0077714F"/>
    <w:rsid w:val="00780205"/>
    <w:rsid w:val="007803F6"/>
    <w:rsid w:val="00780B2F"/>
    <w:rsid w:val="00780B57"/>
    <w:rsid w:val="00780E72"/>
    <w:rsid w:val="007822A4"/>
    <w:rsid w:val="007824A6"/>
    <w:rsid w:val="007834CF"/>
    <w:rsid w:val="007835A4"/>
    <w:rsid w:val="007836DC"/>
    <w:rsid w:val="00783830"/>
    <w:rsid w:val="00783B9B"/>
    <w:rsid w:val="00784716"/>
    <w:rsid w:val="0078482F"/>
    <w:rsid w:val="007857CD"/>
    <w:rsid w:val="0078610D"/>
    <w:rsid w:val="007868BE"/>
    <w:rsid w:val="00786B14"/>
    <w:rsid w:val="007928F2"/>
    <w:rsid w:val="007929DB"/>
    <w:rsid w:val="00793EB6"/>
    <w:rsid w:val="0079404B"/>
    <w:rsid w:val="007942FB"/>
    <w:rsid w:val="00794618"/>
    <w:rsid w:val="00794ADE"/>
    <w:rsid w:val="00794DDD"/>
    <w:rsid w:val="00794EA1"/>
    <w:rsid w:val="00795133"/>
    <w:rsid w:val="00795734"/>
    <w:rsid w:val="00795D80"/>
    <w:rsid w:val="007966EA"/>
    <w:rsid w:val="00796714"/>
    <w:rsid w:val="00796D53"/>
    <w:rsid w:val="00797146"/>
    <w:rsid w:val="00797206"/>
    <w:rsid w:val="007978A1"/>
    <w:rsid w:val="007A0B4C"/>
    <w:rsid w:val="007A10F6"/>
    <w:rsid w:val="007A1A01"/>
    <w:rsid w:val="007A235B"/>
    <w:rsid w:val="007A3013"/>
    <w:rsid w:val="007A32D8"/>
    <w:rsid w:val="007A3868"/>
    <w:rsid w:val="007A3DF7"/>
    <w:rsid w:val="007A3ED8"/>
    <w:rsid w:val="007A3F85"/>
    <w:rsid w:val="007A42A4"/>
    <w:rsid w:val="007A42C8"/>
    <w:rsid w:val="007A442B"/>
    <w:rsid w:val="007A56D8"/>
    <w:rsid w:val="007A597F"/>
    <w:rsid w:val="007A5A1F"/>
    <w:rsid w:val="007A6663"/>
    <w:rsid w:val="007A6C56"/>
    <w:rsid w:val="007A6CA6"/>
    <w:rsid w:val="007A6EA5"/>
    <w:rsid w:val="007A7A83"/>
    <w:rsid w:val="007A7A9E"/>
    <w:rsid w:val="007B0A0C"/>
    <w:rsid w:val="007B0E7E"/>
    <w:rsid w:val="007B174A"/>
    <w:rsid w:val="007B385B"/>
    <w:rsid w:val="007B43A8"/>
    <w:rsid w:val="007B463A"/>
    <w:rsid w:val="007B573E"/>
    <w:rsid w:val="007B5F9E"/>
    <w:rsid w:val="007B600A"/>
    <w:rsid w:val="007B659C"/>
    <w:rsid w:val="007B65D2"/>
    <w:rsid w:val="007B6787"/>
    <w:rsid w:val="007B6A81"/>
    <w:rsid w:val="007B7893"/>
    <w:rsid w:val="007C1FFF"/>
    <w:rsid w:val="007C2887"/>
    <w:rsid w:val="007C309E"/>
    <w:rsid w:val="007C3245"/>
    <w:rsid w:val="007C374C"/>
    <w:rsid w:val="007C4650"/>
    <w:rsid w:val="007C478F"/>
    <w:rsid w:val="007C4B61"/>
    <w:rsid w:val="007C538F"/>
    <w:rsid w:val="007C55E8"/>
    <w:rsid w:val="007C6339"/>
    <w:rsid w:val="007C66CB"/>
    <w:rsid w:val="007D009F"/>
    <w:rsid w:val="007D0248"/>
    <w:rsid w:val="007D0E12"/>
    <w:rsid w:val="007D14CE"/>
    <w:rsid w:val="007D2A26"/>
    <w:rsid w:val="007D2AC2"/>
    <w:rsid w:val="007D2DC3"/>
    <w:rsid w:val="007D30C1"/>
    <w:rsid w:val="007D433E"/>
    <w:rsid w:val="007D48E7"/>
    <w:rsid w:val="007D4B90"/>
    <w:rsid w:val="007D5D3D"/>
    <w:rsid w:val="007D5DDE"/>
    <w:rsid w:val="007D5DEE"/>
    <w:rsid w:val="007D6A03"/>
    <w:rsid w:val="007D726B"/>
    <w:rsid w:val="007D7716"/>
    <w:rsid w:val="007D784C"/>
    <w:rsid w:val="007E09CB"/>
    <w:rsid w:val="007E1626"/>
    <w:rsid w:val="007E2093"/>
    <w:rsid w:val="007E2279"/>
    <w:rsid w:val="007E38D6"/>
    <w:rsid w:val="007E4F90"/>
    <w:rsid w:val="007E7F97"/>
    <w:rsid w:val="007F0DCF"/>
    <w:rsid w:val="007F22AD"/>
    <w:rsid w:val="007F2523"/>
    <w:rsid w:val="007F295B"/>
    <w:rsid w:val="007F341D"/>
    <w:rsid w:val="007F342F"/>
    <w:rsid w:val="007F372D"/>
    <w:rsid w:val="007F47FA"/>
    <w:rsid w:val="007F5310"/>
    <w:rsid w:val="007F70F6"/>
    <w:rsid w:val="007F7633"/>
    <w:rsid w:val="007F783D"/>
    <w:rsid w:val="007F79E0"/>
    <w:rsid w:val="007F7A34"/>
    <w:rsid w:val="007F7B8C"/>
    <w:rsid w:val="00800657"/>
    <w:rsid w:val="00800841"/>
    <w:rsid w:val="008015FE"/>
    <w:rsid w:val="00801AFA"/>
    <w:rsid w:val="00801B51"/>
    <w:rsid w:val="00801BD5"/>
    <w:rsid w:val="00802CC8"/>
    <w:rsid w:val="0080336E"/>
    <w:rsid w:val="00804DBA"/>
    <w:rsid w:val="00805574"/>
    <w:rsid w:val="00805930"/>
    <w:rsid w:val="008059F4"/>
    <w:rsid w:val="00806112"/>
    <w:rsid w:val="00806A12"/>
    <w:rsid w:val="00806AB2"/>
    <w:rsid w:val="00806E64"/>
    <w:rsid w:val="00807722"/>
    <w:rsid w:val="00807C51"/>
    <w:rsid w:val="0081025A"/>
    <w:rsid w:val="00810C19"/>
    <w:rsid w:val="00810CFA"/>
    <w:rsid w:val="00811801"/>
    <w:rsid w:val="00811F52"/>
    <w:rsid w:val="0081211E"/>
    <w:rsid w:val="0081243C"/>
    <w:rsid w:val="00812EFD"/>
    <w:rsid w:val="00813343"/>
    <w:rsid w:val="00813783"/>
    <w:rsid w:val="00813F82"/>
    <w:rsid w:val="00814DB1"/>
    <w:rsid w:val="008165F8"/>
    <w:rsid w:val="00816DB6"/>
    <w:rsid w:val="00817088"/>
    <w:rsid w:val="00817A6B"/>
    <w:rsid w:val="0082022B"/>
    <w:rsid w:val="008205CE"/>
    <w:rsid w:val="00820B16"/>
    <w:rsid w:val="00820D7E"/>
    <w:rsid w:val="008217C6"/>
    <w:rsid w:val="00821D05"/>
    <w:rsid w:val="00821E0D"/>
    <w:rsid w:val="00822131"/>
    <w:rsid w:val="008222E6"/>
    <w:rsid w:val="0082302C"/>
    <w:rsid w:val="00823168"/>
    <w:rsid w:val="00823D18"/>
    <w:rsid w:val="008240C8"/>
    <w:rsid w:val="0082438C"/>
    <w:rsid w:val="008243A2"/>
    <w:rsid w:val="00824682"/>
    <w:rsid w:val="008248D9"/>
    <w:rsid w:val="00824972"/>
    <w:rsid w:val="00824B69"/>
    <w:rsid w:val="00824FE0"/>
    <w:rsid w:val="008273E9"/>
    <w:rsid w:val="00827B4E"/>
    <w:rsid w:val="00827CF4"/>
    <w:rsid w:val="00827D6C"/>
    <w:rsid w:val="00827E67"/>
    <w:rsid w:val="0083004A"/>
    <w:rsid w:val="00830192"/>
    <w:rsid w:val="00831039"/>
    <w:rsid w:val="008312E9"/>
    <w:rsid w:val="008320FD"/>
    <w:rsid w:val="0083220D"/>
    <w:rsid w:val="00832755"/>
    <w:rsid w:val="0083390D"/>
    <w:rsid w:val="00834167"/>
    <w:rsid w:val="008342B9"/>
    <w:rsid w:val="00834888"/>
    <w:rsid w:val="00834DB8"/>
    <w:rsid w:val="008358EE"/>
    <w:rsid w:val="008359DD"/>
    <w:rsid w:val="0083682C"/>
    <w:rsid w:val="0083774A"/>
    <w:rsid w:val="00840169"/>
    <w:rsid w:val="008405A3"/>
    <w:rsid w:val="00840671"/>
    <w:rsid w:val="00841522"/>
    <w:rsid w:val="00842449"/>
    <w:rsid w:val="00842FE1"/>
    <w:rsid w:val="00843179"/>
    <w:rsid w:val="008440D6"/>
    <w:rsid w:val="00844E7A"/>
    <w:rsid w:val="00844F60"/>
    <w:rsid w:val="008461FC"/>
    <w:rsid w:val="0084675E"/>
    <w:rsid w:val="00846DDE"/>
    <w:rsid w:val="00847200"/>
    <w:rsid w:val="00850D6B"/>
    <w:rsid w:val="00851284"/>
    <w:rsid w:val="008512FF"/>
    <w:rsid w:val="00851313"/>
    <w:rsid w:val="00851583"/>
    <w:rsid w:val="00851733"/>
    <w:rsid w:val="00851A22"/>
    <w:rsid w:val="00851ED1"/>
    <w:rsid w:val="00854757"/>
    <w:rsid w:val="008547B0"/>
    <w:rsid w:val="00854926"/>
    <w:rsid w:val="00854F53"/>
    <w:rsid w:val="008550C4"/>
    <w:rsid w:val="00855429"/>
    <w:rsid w:val="00855909"/>
    <w:rsid w:val="008565AB"/>
    <w:rsid w:val="00856C36"/>
    <w:rsid w:val="00856D79"/>
    <w:rsid w:val="00860760"/>
    <w:rsid w:val="00860BBB"/>
    <w:rsid w:val="00861E9B"/>
    <w:rsid w:val="008623C9"/>
    <w:rsid w:val="008628E1"/>
    <w:rsid w:val="008631F8"/>
    <w:rsid w:val="00863F99"/>
    <w:rsid w:val="008657E9"/>
    <w:rsid w:val="00866934"/>
    <w:rsid w:val="0087042B"/>
    <w:rsid w:val="00870C98"/>
    <w:rsid w:val="00870E2B"/>
    <w:rsid w:val="008712F8"/>
    <w:rsid w:val="00872893"/>
    <w:rsid w:val="00872E32"/>
    <w:rsid w:val="0087386F"/>
    <w:rsid w:val="00873BBB"/>
    <w:rsid w:val="00873FBF"/>
    <w:rsid w:val="00874170"/>
    <w:rsid w:val="008753A9"/>
    <w:rsid w:val="00875EFE"/>
    <w:rsid w:val="008769FA"/>
    <w:rsid w:val="008771E6"/>
    <w:rsid w:val="00877442"/>
    <w:rsid w:val="00880461"/>
    <w:rsid w:val="00881EB2"/>
    <w:rsid w:val="008826F0"/>
    <w:rsid w:val="00882AE9"/>
    <w:rsid w:val="00883E0A"/>
    <w:rsid w:val="008843AA"/>
    <w:rsid w:val="0088541D"/>
    <w:rsid w:val="00886673"/>
    <w:rsid w:val="00886F07"/>
    <w:rsid w:val="008903EB"/>
    <w:rsid w:val="0089163D"/>
    <w:rsid w:val="00891A00"/>
    <w:rsid w:val="00892F18"/>
    <w:rsid w:val="008931DB"/>
    <w:rsid w:val="0089411E"/>
    <w:rsid w:val="0089447A"/>
    <w:rsid w:val="008946CA"/>
    <w:rsid w:val="0089470D"/>
    <w:rsid w:val="008949FE"/>
    <w:rsid w:val="00894DCB"/>
    <w:rsid w:val="008951E6"/>
    <w:rsid w:val="008954D2"/>
    <w:rsid w:val="00895560"/>
    <w:rsid w:val="008962BC"/>
    <w:rsid w:val="00896C4C"/>
    <w:rsid w:val="0089724F"/>
    <w:rsid w:val="00897D77"/>
    <w:rsid w:val="008A095B"/>
    <w:rsid w:val="008A09D4"/>
    <w:rsid w:val="008A0CBB"/>
    <w:rsid w:val="008A17E8"/>
    <w:rsid w:val="008A1A72"/>
    <w:rsid w:val="008A2439"/>
    <w:rsid w:val="008A3138"/>
    <w:rsid w:val="008A3862"/>
    <w:rsid w:val="008A3B73"/>
    <w:rsid w:val="008A3BA4"/>
    <w:rsid w:val="008A3F6C"/>
    <w:rsid w:val="008A4C49"/>
    <w:rsid w:val="008A4DE6"/>
    <w:rsid w:val="008A553F"/>
    <w:rsid w:val="008A5956"/>
    <w:rsid w:val="008A59B3"/>
    <w:rsid w:val="008A5A1A"/>
    <w:rsid w:val="008A644F"/>
    <w:rsid w:val="008A6D46"/>
    <w:rsid w:val="008A7B47"/>
    <w:rsid w:val="008B1522"/>
    <w:rsid w:val="008B158C"/>
    <w:rsid w:val="008B1D91"/>
    <w:rsid w:val="008B200B"/>
    <w:rsid w:val="008B368D"/>
    <w:rsid w:val="008B389C"/>
    <w:rsid w:val="008B3A01"/>
    <w:rsid w:val="008B6410"/>
    <w:rsid w:val="008B6660"/>
    <w:rsid w:val="008B671A"/>
    <w:rsid w:val="008B6E34"/>
    <w:rsid w:val="008C022A"/>
    <w:rsid w:val="008C0BBE"/>
    <w:rsid w:val="008C133D"/>
    <w:rsid w:val="008C1617"/>
    <w:rsid w:val="008C1933"/>
    <w:rsid w:val="008C2798"/>
    <w:rsid w:val="008C2CB9"/>
    <w:rsid w:val="008C3873"/>
    <w:rsid w:val="008C3C1D"/>
    <w:rsid w:val="008C5205"/>
    <w:rsid w:val="008C5AFA"/>
    <w:rsid w:val="008C6908"/>
    <w:rsid w:val="008C69DC"/>
    <w:rsid w:val="008C7C13"/>
    <w:rsid w:val="008D028B"/>
    <w:rsid w:val="008D0581"/>
    <w:rsid w:val="008D1194"/>
    <w:rsid w:val="008D1422"/>
    <w:rsid w:val="008D1D94"/>
    <w:rsid w:val="008D346A"/>
    <w:rsid w:val="008D48D3"/>
    <w:rsid w:val="008D4A20"/>
    <w:rsid w:val="008D4E20"/>
    <w:rsid w:val="008D4FCD"/>
    <w:rsid w:val="008D55C3"/>
    <w:rsid w:val="008D6B4B"/>
    <w:rsid w:val="008D7B92"/>
    <w:rsid w:val="008E0720"/>
    <w:rsid w:val="008E1182"/>
    <w:rsid w:val="008E14C9"/>
    <w:rsid w:val="008E23FC"/>
    <w:rsid w:val="008E3450"/>
    <w:rsid w:val="008E3526"/>
    <w:rsid w:val="008E3F80"/>
    <w:rsid w:val="008E4218"/>
    <w:rsid w:val="008E4C5E"/>
    <w:rsid w:val="008E52F6"/>
    <w:rsid w:val="008E67B2"/>
    <w:rsid w:val="008E6C03"/>
    <w:rsid w:val="008E6F5E"/>
    <w:rsid w:val="008E7C58"/>
    <w:rsid w:val="008F0256"/>
    <w:rsid w:val="008F0B28"/>
    <w:rsid w:val="008F100E"/>
    <w:rsid w:val="008F2E33"/>
    <w:rsid w:val="008F2F6E"/>
    <w:rsid w:val="008F3062"/>
    <w:rsid w:val="008F353D"/>
    <w:rsid w:val="008F3A3D"/>
    <w:rsid w:val="008F3FAB"/>
    <w:rsid w:val="008F4435"/>
    <w:rsid w:val="008F51B3"/>
    <w:rsid w:val="008F547C"/>
    <w:rsid w:val="008F5645"/>
    <w:rsid w:val="008F5E55"/>
    <w:rsid w:val="008F686D"/>
    <w:rsid w:val="008F6F27"/>
    <w:rsid w:val="008F79B5"/>
    <w:rsid w:val="008F7E35"/>
    <w:rsid w:val="0090000D"/>
    <w:rsid w:val="009008DD"/>
    <w:rsid w:val="00900DE3"/>
    <w:rsid w:val="009018F3"/>
    <w:rsid w:val="00901B35"/>
    <w:rsid w:val="009021A1"/>
    <w:rsid w:val="009036A3"/>
    <w:rsid w:val="00904037"/>
    <w:rsid w:val="0090425B"/>
    <w:rsid w:val="00904971"/>
    <w:rsid w:val="009051A8"/>
    <w:rsid w:val="00905630"/>
    <w:rsid w:val="00906022"/>
    <w:rsid w:val="009061D5"/>
    <w:rsid w:val="00906FE5"/>
    <w:rsid w:val="009074D9"/>
    <w:rsid w:val="009075A6"/>
    <w:rsid w:val="00907ABC"/>
    <w:rsid w:val="00910739"/>
    <w:rsid w:val="009110EE"/>
    <w:rsid w:val="0091185D"/>
    <w:rsid w:val="00911A06"/>
    <w:rsid w:val="00911DE9"/>
    <w:rsid w:val="0091341C"/>
    <w:rsid w:val="00913CBC"/>
    <w:rsid w:val="00913D1F"/>
    <w:rsid w:val="00913E8E"/>
    <w:rsid w:val="00914561"/>
    <w:rsid w:val="0091462C"/>
    <w:rsid w:val="009161A4"/>
    <w:rsid w:val="00916318"/>
    <w:rsid w:val="0091718B"/>
    <w:rsid w:val="00920190"/>
    <w:rsid w:val="009213C8"/>
    <w:rsid w:val="00921CD9"/>
    <w:rsid w:val="0092234B"/>
    <w:rsid w:val="009223F2"/>
    <w:rsid w:val="009228AA"/>
    <w:rsid w:val="00923B0A"/>
    <w:rsid w:val="009244E9"/>
    <w:rsid w:val="0092486E"/>
    <w:rsid w:val="00924B2F"/>
    <w:rsid w:val="00930BAE"/>
    <w:rsid w:val="00930F6D"/>
    <w:rsid w:val="00931763"/>
    <w:rsid w:val="0093283F"/>
    <w:rsid w:val="00932F5A"/>
    <w:rsid w:val="009335A2"/>
    <w:rsid w:val="00933715"/>
    <w:rsid w:val="00933A94"/>
    <w:rsid w:val="009346BC"/>
    <w:rsid w:val="009347FC"/>
    <w:rsid w:val="00934A3F"/>
    <w:rsid w:val="00935055"/>
    <w:rsid w:val="00935123"/>
    <w:rsid w:val="009364D7"/>
    <w:rsid w:val="0093704F"/>
    <w:rsid w:val="0094041D"/>
    <w:rsid w:val="009408A9"/>
    <w:rsid w:val="009408BD"/>
    <w:rsid w:val="00941B95"/>
    <w:rsid w:val="00941DF5"/>
    <w:rsid w:val="00941E84"/>
    <w:rsid w:val="009431C6"/>
    <w:rsid w:val="00944232"/>
    <w:rsid w:val="00944829"/>
    <w:rsid w:val="00944A15"/>
    <w:rsid w:val="00944D42"/>
    <w:rsid w:val="009456AE"/>
    <w:rsid w:val="009457F9"/>
    <w:rsid w:val="0094584F"/>
    <w:rsid w:val="00945EED"/>
    <w:rsid w:val="009462CA"/>
    <w:rsid w:val="009468A1"/>
    <w:rsid w:val="009501B2"/>
    <w:rsid w:val="009502E7"/>
    <w:rsid w:val="00950437"/>
    <w:rsid w:val="0095049C"/>
    <w:rsid w:val="0095084D"/>
    <w:rsid w:val="00950BBF"/>
    <w:rsid w:val="00950FE4"/>
    <w:rsid w:val="009513A3"/>
    <w:rsid w:val="0095180E"/>
    <w:rsid w:val="00951950"/>
    <w:rsid w:val="009525C2"/>
    <w:rsid w:val="00952CDA"/>
    <w:rsid w:val="00952E11"/>
    <w:rsid w:val="00953789"/>
    <w:rsid w:val="00953E70"/>
    <w:rsid w:val="009546A1"/>
    <w:rsid w:val="00954D54"/>
    <w:rsid w:val="00955848"/>
    <w:rsid w:val="00955A27"/>
    <w:rsid w:val="00956027"/>
    <w:rsid w:val="00957D7D"/>
    <w:rsid w:val="00957E67"/>
    <w:rsid w:val="00957F6E"/>
    <w:rsid w:val="00960139"/>
    <w:rsid w:val="00961261"/>
    <w:rsid w:val="009618A0"/>
    <w:rsid w:val="00961969"/>
    <w:rsid w:val="00962B0D"/>
    <w:rsid w:val="009638F3"/>
    <w:rsid w:val="00963DEF"/>
    <w:rsid w:val="00964E47"/>
    <w:rsid w:val="009654A8"/>
    <w:rsid w:val="009655B2"/>
    <w:rsid w:val="00965E29"/>
    <w:rsid w:val="00965E61"/>
    <w:rsid w:val="00966025"/>
    <w:rsid w:val="00966445"/>
    <w:rsid w:val="009664A5"/>
    <w:rsid w:val="0096662F"/>
    <w:rsid w:val="00966780"/>
    <w:rsid w:val="0096691F"/>
    <w:rsid w:val="009672E3"/>
    <w:rsid w:val="009675A5"/>
    <w:rsid w:val="0096799A"/>
    <w:rsid w:val="00970552"/>
    <w:rsid w:val="009709DE"/>
    <w:rsid w:val="00971639"/>
    <w:rsid w:val="00971F19"/>
    <w:rsid w:val="0097214F"/>
    <w:rsid w:val="0097225E"/>
    <w:rsid w:val="00972295"/>
    <w:rsid w:val="009725F8"/>
    <w:rsid w:val="00972FC9"/>
    <w:rsid w:val="00973652"/>
    <w:rsid w:val="009736DD"/>
    <w:rsid w:val="009737D3"/>
    <w:rsid w:val="00974894"/>
    <w:rsid w:val="00974F8B"/>
    <w:rsid w:val="009755E1"/>
    <w:rsid w:val="00976387"/>
    <w:rsid w:val="009763D7"/>
    <w:rsid w:val="00976513"/>
    <w:rsid w:val="00976630"/>
    <w:rsid w:val="00976691"/>
    <w:rsid w:val="00977198"/>
    <w:rsid w:val="009773E8"/>
    <w:rsid w:val="009776E0"/>
    <w:rsid w:val="00977849"/>
    <w:rsid w:val="009805D7"/>
    <w:rsid w:val="00980995"/>
    <w:rsid w:val="00980A82"/>
    <w:rsid w:val="009826AC"/>
    <w:rsid w:val="009834D2"/>
    <w:rsid w:val="0098374E"/>
    <w:rsid w:val="009849BD"/>
    <w:rsid w:val="00984B73"/>
    <w:rsid w:val="00986EF9"/>
    <w:rsid w:val="0098717A"/>
    <w:rsid w:val="00987813"/>
    <w:rsid w:val="00990C9B"/>
    <w:rsid w:val="0099153E"/>
    <w:rsid w:val="009928F7"/>
    <w:rsid w:val="00993136"/>
    <w:rsid w:val="00993665"/>
    <w:rsid w:val="00993917"/>
    <w:rsid w:val="009942F1"/>
    <w:rsid w:val="00994549"/>
    <w:rsid w:val="00994729"/>
    <w:rsid w:val="009948ED"/>
    <w:rsid w:val="00995A3F"/>
    <w:rsid w:val="00995BBD"/>
    <w:rsid w:val="0099629F"/>
    <w:rsid w:val="00996BAC"/>
    <w:rsid w:val="00996EF1"/>
    <w:rsid w:val="009973C7"/>
    <w:rsid w:val="009A07F4"/>
    <w:rsid w:val="009A0BE4"/>
    <w:rsid w:val="009A0DBF"/>
    <w:rsid w:val="009A0E0B"/>
    <w:rsid w:val="009A19FD"/>
    <w:rsid w:val="009A2739"/>
    <w:rsid w:val="009A2909"/>
    <w:rsid w:val="009A2F55"/>
    <w:rsid w:val="009A3DCF"/>
    <w:rsid w:val="009A43DD"/>
    <w:rsid w:val="009A4E26"/>
    <w:rsid w:val="009A4F3E"/>
    <w:rsid w:val="009A77A2"/>
    <w:rsid w:val="009B0760"/>
    <w:rsid w:val="009B0773"/>
    <w:rsid w:val="009B0CE0"/>
    <w:rsid w:val="009B12DB"/>
    <w:rsid w:val="009B1415"/>
    <w:rsid w:val="009B189F"/>
    <w:rsid w:val="009B1BA0"/>
    <w:rsid w:val="009B1E4A"/>
    <w:rsid w:val="009B3747"/>
    <w:rsid w:val="009B3E4B"/>
    <w:rsid w:val="009B416C"/>
    <w:rsid w:val="009B4515"/>
    <w:rsid w:val="009B45E1"/>
    <w:rsid w:val="009B52EE"/>
    <w:rsid w:val="009B5DD9"/>
    <w:rsid w:val="009B678D"/>
    <w:rsid w:val="009B6A1D"/>
    <w:rsid w:val="009B6CAE"/>
    <w:rsid w:val="009B7EAB"/>
    <w:rsid w:val="009C0362"/>
    <w:rsid w:val="009C0BCC"/>
    <w:rsid w:val="009C100E"/>
    <w:rsid w:val="009C1981"/>
    <w:rsid w:val="009C2051"/>
    <w:rsid w:val="009C27EF"/>
    <w:rsid w:val="009C2A8A"/>
    <w:rsid w:val="009C2F37"/>
    <w:rsid w:val="009C3B3F"/>
    <w:rsid w:val="009C43C3"/>
    <w:rsid w:val="009C4C1A"/>
    <w:rsid w:val="009C4E97"/>
    <w:rsid w:val="009C562A"/>
    <w:rsid w:val="009C68C7"/>
    <w:rsid w:val="009C6BC7"/>
    <w:rsid w:val="009C6BE1"/>
    <w:rsid w:val="009C707E"/>
    <w:rsid w:val="009D033D"/>
    <w:rsid w:val="009D053D"/>
    <w:rsid w:val="009D0922"/>
    <w:rsid w:val="009D1689"/>
    <w:rsid w:val="009D1F73"/>
    <w:rsid w:val="009D2464"/>
    <w:rsid w:val="009D31A5"/>
    <w:rsid w:val="009D3340"/>
    <w:rsid w:val="009D33FB"/>
    <w:rsid w:val="009D3432"/>
    <w:rsid w:val="009D3ADF"/>
    <w:rsid w:val="009D3DD3"/>
    <w:rsid w:val="009D4697"/>
    <w:rsid w:val="009D4866"/>
    <w:rsid w:val="009D4AD7"/>
    <w:rsid w:val="009D55C9"/>
    <w:rsid w:val="009D6675"/>
    <w:rsid w:val="009D66B6"/>
    <w:rsid w:val="009D710C"/>
    <w:rsid w:val="009D763D"/>
    <w:rsid w:val="009D76AB"/>
    <w:rsid w:val="009E0024"/>
    <w:rsid w:val="009E0698"/>
    <w:rsid w:val="009E0ABE"/>
    <w:rsid w:val="009E110F"/>
    <w:rsid w:val="009E1305"/>
    <w:rsid w:val="009E16F4"/>
    <w:rsid w:val="009E17AC"/>
    <w:rsid w:val="009E198B"/>
    <w:rsid w:val="009E1E1C"/>
    <w:rsid w:val="009E2530"/>
    <w:rsid w:val="009E2B4F"/>
    <w:rsid w:val="009E3A42"/>
    <w:rsid w:val="009E3E2E"/>
    <w:rsid w:val="009E3F62"/>
    <w:rsid w:val="009E42D1"/>
    <w:rsid w:val="009E539D"/>
    <w:rsid w:val="009E5739"/>
    <w:rsid w:val="009E57D4"/>
    <w:rsid w:val="009E5C53"/>
    <w:rsid w:val="009E6148"/>
    <w:rsid w:val="009E6474"/>
    <w:rsid w:val="009F0412"/>
    <w:rsid w:val="009F0752"/>
    <w:rsid w:val="009F0950"/>
    <w:rsid w:val="009F0EF0"/>
    <w:rsid w:val="009F13FE"/>
    <w:rsid w:val="009F1E25"/>
    <w:rsid w:val="009F2713"/>
    <w:rsid w:val="009F418A"/>
    <w:rsid w:val="009F5CA4"/>
    <w:rsid w:val="009F66A4"/>
    <w:rsid w:val="009F6CA3"/>
    <w:rsid w:val="00A0051E"/>
    <w:rsid w:val="00A00BDA"/>
    <w:rsid w:val="00A01AD6"/>
    <w:rsid w:val="00A01C89"/>
    <w:rsid w:val="00A023BD"/>
    <w:rsid w:val="00A02D7D"/>
    <w:rsid w:val="00A0384E"/>
    <w:rsid w:val="00A04A5C"/>
    <w:rsid w:val="00A0509A"/>
    <w:rsid w:val="00A055D0"/>
    <w:rsid w:val="00A05C0D"/>
    <w:rsid w:val="00A05C25"/>
    <w:rsid w:val="00A05DAD"/>
    <w:rsid w:val="00A0652B"/>
    <w:rsid w:val="00A06CBD"/>
    <w:rsid w:val="00A06E10"/>
    <w:rsid w:val="00A07191"/>
    <w:rsid w:val="00A07C09"/>
    <w:rsid w:val="00A104B2"/>
    <w:rsid w:val="00A10943"/>
    <w:rsid w:val="00A10A3E"/>
    <w:rsid w:val="00A110E5"/>
    <w:rsid w:val="00A1187C"/>
    <w:rsid w:val="00A11DE0"/>
    <w:rsid w:val="00A12B07"/>
    <w:rsid w:val="00A13565"/>
    <w:rsid w:val="00A13936"/>
    <w:rsid w:val="00A13A5D"/>
    <w:rsid w:val="00A13E27"/>
    <w:rsid w:val="00A14B21"/>
    <w:rsid w:val="00A1545B"/>
    <w:rsid w:val="00A15B3D"/>
    <w:rsid w:val="00A17961"/>
    <w:rsid w:val="00A17A2B"/>
    <w:rsid w:val="00A200ED"/>
    <w:rsid w:val="00A20DA7"/>
    <w:rsid w:val="00A22481"/>
    <w:rsid w:val="00A23270"/>
    <w:rsid w:val="00A23486"/>
    <w:rsid w:val="00A24348"/>
    <w:rsid w:val="00A24361"/>
    <w:rsid w:val="00A252DC"/>
    <w:rsid w:val="00A256F5"/>
    <w:rsid w:val="00A258A6"/>
    <w:rsid w:val="00A2639F"/>
    <w:rsid w:val="00A26497"/>
    <w:rsid w:val="00A267D7"/>
    <w:rsid w:val="00A2713E"/>
    <w:rsid w:val="00A278D1"/>
    <w:rsid w:val="00A300F8"/>
    <w:rsid w:val="00A30303"/>
    <w:rsid w:val="00A32235"/>
    <w:rsid w:val="00A32242"/>
    <w:rsid w:val="00A329F0"/>
    <w:rsid w:val="00A32CFD"/>
    <w:rsid w:val="00A33144"/>
    <w:rsid w:val="00A336AF"/>
    <w:rsid w:val="00A34DDF"/>
    <w:rsid w:val="00A34E82"/>
    <w:rsid w:val="00A354F7"/>
    <w:rsid w:val="00A35682"/>
    <w:rsid w:val="00A35BAD"/>
    <w:rsid w:val="00A37632"/>
    <w:rsid w:val="00A37815"/>
    <w:rsid w:val="00A37B4C"/>
    <w:rsid w:val="00A401EE"/>
    <w:rsid w:val="00A413F6"/>
    <w:rsid w:val="00A41741"/>
    <w:rsid w:val="00A41824"/>
    <w:rsid w:val="00A42500"/>
    <w:rsid w:val="00A43C91"/>
    <w:rsid w:val="00A44326"/>
    <w:rsid w:val="00A44592"/>
    <w:rsid w:val="00A44899"/>
    <w:rsid w:val="00A45327"/>
    <w:rsid w:val="00A4554E"/>
    <w:rsid w:val="00A45769"/>
    <w:rsid w:val="00A45B6E"/>
    <w:rsid w:val="00A45B87"/>
    <w:rsid w:val="00A47B47"/>
    <w:rsid w:val="00A501B9"/>
    <w:rsid w:val="00A50B9A"/>
    <w:rsid w:val="00A51873"/>
    <w:rsid w:val="00A51AA9"/>
    <w:rsid w:val="00A520AB"/>
    <w:rsid w:val="00A53868"/>
    <w:rsid w:val="00A53B46"/>
    <w:rsid w:val="00A53B4F"/>
    <w:rsid w:val="00A544FD"/>
    <w:rsid w:val="00A54D8D"/>
    <w:rsid w:val="00A5621A"/>
    <w:rsid w:val="00A56AD8"/>
    <w:rsid w:val="00A56FE9"/>
    <w:rsid w:val="00A571F5"/>
    <w:rsid w:val="00A57E2E"/>
    <w:rsid w:val="00A57F3B"/>
    <w:rsid w:val="00A61076"/>
    <w:rsid w:val="00A6152A"/>
    <w:rsid w:val="00A62898"/>
    <w:rsid w:val="00A62ACE"/>
    <w:rsid w:val="00A62E9A"/>
    <w:rsid w:val="00A62F17"/>
    <w:rsid w:val="00A63464"/>
    <w:rsid w:val="00A637A6"/>
    <w:rsid w:val="00A6397B"/>
    <w:rsid w:val="00A63D1A"/>
    <w:rsid w:val="00A6455F"/>
    <w:rsid w:val="00A648A6"/>
    <w:rsid w:val="00A64A58"/>
    <w:rsid w:val="00A652C3"/>
    <w:rsid w:val="00A65303"/>
    <w:rsid w:val="00A65E80"/>
    <w:rsid w:val="00A6655D"/>
    <w:rsid w:val="00A669A2"/>
    <w:rsid w:val="00A70660"/>
    <w:rsid w:val="00A71214"/>
    <w:rsid w:val="00A7190B"/>
    <w:rsid w:val="00A72265"/>
    <w:rsid w:val="00A728E7"/>
    <w:rsid w:val="00A73838"/>
    <w:rsid w:val="00A73C9A"/>
    <w:rsid w:val="00A73EBF"/>
    <w:rsid w:val="00A740E3"/>
    <w:rsid w:val="00A742E2"/>
    <w:rsid w:val="00A74631"/>
    <w:rsid w:val="00A7486C"/>
    <w:rsid w:val="00A74CF9"/>
    <w:rsid w:val="00A75011"/>
    <w:rsid w:val="00A753DD"/>
    <w:rsid w:val="00A75D93"/>
    <w:rsid w:val="00A7602A"/>
    <w:rsid w:val="00A77B32"/>
    <w:rsid w:val="00A77D9B"/>
    <w:rsid w:val="00A801AA"/>
    <w:rsid w:val="00A821BE"/>
    <w:rsid w:val="00A821E8"/>
    <w:rsid w:val="00A82311"/>
    <w:rsid w:val="00A82685"/>
    <w:rsid w:val="00A8277A"/>
    <w:rsid w:val="00A8280F"/>
    <w:rsid w:val="00A8385D"/>
    <w:rsid w:val="00A840F6"/>
    <w:rsid w:val="00A85222"/>
    <w:rsid w:val="00A8528E"/>
    <w:rsid w:val="00A85454"/>
    <w:rsid w:val="00A85F88"/>
    <w:rsid w:val="00A8648B"/>
    <w:rsid w:val="00A865BE"/>
    <w:rsid w:val="00A86D86"/>
    <w:rsid w:val="00A86FC4"/>
    <w:rsid w:val="00A8717A"/>
    <w:rsid w:val="00A8756F"/>
    <w:rsid w:val="00A8759A"/>
    <w:rsid w:val="00A87DF1"/>
    <w:rsid w:val="00A9014A"/>
    <w:rsid w:val="00A9029D"/>
    <w:rsid w:val="00A90F81"/>
    <w:rsid w:val="00A91362"/>
    <w:rsid w:val="00A91854"/>
    <w:rsid w:val="00A922D5"/>
    <w:rsid w:val="00A92605"/>
    <w:rsid w:val="00A92930"/>
    <w:rsid w:val="00A949F9"/>
    <w:rsid w:val="00A954F9"/>
    <w:rsid w:val="00A957E0"/>
    <w:rsid w:val="00AA01A7"/>
    <w:rsid w:val="00AA0306"/>
    <w:rsid w:val="00AA11E1"/>
    <w:rsid w:val="00AA1A32"/>
    <w:rsid w:val="00AA223D"/>
    <w:rsid w:val="00AA2932"/>
    <w:rsid w:val="00AA34AD"/>
    <w:rsid w:val="00AA38CE"/>
    <w:rsid w:val="00AA3FC5"/>
    <w:rsid w:val="00AA4572"/>
    <w:rsid w:val="00AA48A2"/>
    <w:rsid w:val="00AA4A1C"/>
    <w:rsid w:val="00AA5C58"/>
    <w:rsid w:val="00AA5ED4"/>
    <w:rsid w:val="00AA6A2F"/>
    <w:rsid w:val="00AA6F70"/>
    <w:rsid w:val="00AA70F6"/>
    <w:rsid w:val="00AB08FB"/>
    <w:rsid w:val="00AB0916"/>
    <w:rsid w:val="00AB0D6B"/>
    <w:rsid w:val="00AB0E71"/>
    <w:rsid w:val="00AB11E5"/>
    <w:rsid w:val="00AB1403"/>
    <w:rsid w:val="00AB1CB7"/>
    <w:rsid w:val="00AB2641"/>
    <w:rsid w:val="00AB2871"/>
    <w:rsid w:val="00AB2D72"/>
    <w:rsid w:val="00AB2E13"/>
    <w:rsid w:val="00AB323E"/>
    <w:rsid w:val="00AB3F95"/>
    <w:rsid w:val="00AB46FC"/>
    <w:rsid w:val="00AB487A"/>
    <w:rsid w:val="00AB5130"/>
    <w:rsid w:val="00AB58CE"/>
    <w:rsid w:val="00AB63BC"/>
    <w:rsid w:val="00AB68E1"/>
    <w:rsid w:val="00AB6AD0"/>
    <w:rsid w:val="00AB752F"/>
    <w:rsid w:val="00AB7581"/>
    <w:rsid w:val="00AB7AFE"/>
    <w:rsid w:val="00AC0289"/>
    <w:rsid w:val="00AC0BD0"/>
    <w:rsid w:val="00AC0FEB"/>
    <w:rsid w:val="00AC1015"/>
    <w:rsid w:val="00AC1C90"/>
    <w:rsid w:val="00AC1CFB"/>
    <w:rsid w:val="00AC2609"/>
    <w:rsid w:val="00AC3355"/>
    <w:rsid w:val="00AC35EC"/>
    <w:rsid w:val="00AC3712"/>
    <w:rsid w:val="00AC552A"/>
    <w:rsid w:val="00AC720E"/>
    <w:rsid w:val="00AC727F"/>
    <w:rsid w:val="00AC7725"/>
    <w:rsid w:val="00AD006C"/>
    <w:rsid w:val="00AD03B6"/>
    <w:rsid w:val="00AD1968"/>
    <w:rsid w:val="00AD2340"/>
    <w:rsid w:val="00AD2AEC"/>
    <w:rsid w:val="00AD347D"/>
    <w:rsid w:val="00AD3487"/>
    <w:rsid w:val="00AD3EA6"/>
    <w:rsid w:val="00AD4D9D"/>
    <w:rsid w:val="00AD57C3"/>
    <w:rsid w:val="00AD5B07"/>
    <w:rsid w:val="00AD5C12"/>
    <w:rsid w:val="00AD646F"/>
    <w:rsid w:val="00AD6B6F"/>
    <w:rsid w:val="00AD79CC"/>
    <w:rsid w:val="00AD7F00"/>
    <w:rsid w:val="00AD7FF8"/>
    <w:rsid w:val="00AE0A4E"/>
    <w:rsid w:val="00AE0D69"/>
    <w:rsid w:val="00AE2838"/>
    <w:rsid w:val="00AE2D11"/>
    <w:rsid w:val="00AE3CB1"/>
    <w:rsid w:val="00AE3CFA"/>
    <w:rsid w:val="00AE4A1E"/>
    <w:rsid w:val="00AE52E9"/>
    <w:rsid w:val="00AE67F3"/>
    <w:rsid w:val="00AE7362"/>
    <w:rsid w:val="00AE79CC"/>
    <w:rsid w:val="00AF0228"/>
    <w:rsid w:val="00AF0CF3"/>
    <w:rsid w:val="00AF0CF9"/>
    <w:rsid w:val="00AF1A5F"/>
    <w:rsid w:val="00AF1B78"/>
    <w:rsid w:val="00AF20BA"/>
    <w:rsid w:val="00AF2353"/>
    <w:rsid w:val="00AF3498"/>
    <w:rsid w:val="00AF3846"/>
    <w:rsid w:val="00AF40F4"/>
    <w:rsid w:val="00AF58BB"/>
    <w:rsid w:val="00AF591D"/>
    <w:rsid w:val="00AF5A3E"/>
    <w:rsid w:val="00AF5B01"/>
    <w:rsid w:val="00AF69BC"/>
    <w:rsid w:val="00AF7176"/>
    <w:rsid w:val="00B00338"/>
    <w:rsid w:val="00B0080A"/>
    <w:rsid w:val="00B0143B"/>
    <w:rsid w:val="00B015A3"/>
    <w:rsid w:val="00B01A6E"/>
    <w:rsid w:val="00B02C02"/>
    <w:rsid w:val="00B02E9C"/>
    <w:rsid w:val="00B03106"/>
    <w:rsid w:val="00B03463"/>
    <w:rsid w:val="00B035CF"/>
    <w:rsid w:val="00B03862"/>
    <w:rsid w:val="00B03BDE"/>
    <w:rsid w:val="00B040DD"/>
    <w:rsid w:val="00B05193"/>
    <w:rsid w:val="00B05535"/>
    <w:rsid w:val="00B058AB"/>
    <w:rsid w:val="00B061B0"/>
    <w:rsid w:val="00B062DB"/>
    <w:rsid w:val="00B0727E"/>
    <w:rsid w:val="00B074FA"/>
    <w:rsid w:val="00B07978"/>
    <w:rsid w:val="00B1039B"/>
    <w:rsid w:val="00B10611"/>
    <w:rsid w:val="00B10941"/>
    <w:rsid w:val="00B10BDB"/>
    <w:rsid w:val="00B10DEB"/>
    <w:rsid w:val="00B1138B"/>
    <w:rsid w:val="00B11908"/>
    <w:rsid w:val="00B11923"/>
    <w:rsid w:val="00B11994"/>
    <w:rsid w:val="00B11A91"/>
    <w:rsid w:val="00B11B86"/>
    <w:rsid w:val="00B12698"/>
    <w:rsid w:val="00B1308C"/>
    <w:rsid w:val="00B131D9"/>
    <w:rsid w:val="00B13498"/>
    <w:rsid w:val="00B14855"/>
    <w:rsid w:val="00B1529B"/>
    <w:rsid w:val="00B15962"/>
    <w:rsid w:val="00B15D97"/>
    <w:rsid w:val="00B15EC9"/>
    <w:rsid w:val="00B17BE3"/>
    <w:rsid w:val="00B17FBC"/>
    <w:rsid w:val="00B20D3C"/>
    <w:rsid w:val="00B210A1"/>
    <w:rsid w:val="00B22CBA"/>
    <w:rsid w:val="00B23AB5"/>
    <w:rsid w:val="00B23B67"/>
    <w:rsid w:val="00B23B85"/>
    <w:rsid w:val="00B250D1"/>
    <w:rsid w:val="00B253E8"/>
    <w:rsid w:val="00B25A65"/>
    <w:rsid w:val="00B2690C"/>
    <w:rsid w:val="00B26C02"/>
    <w:rsid w:val="00B26E7E"/>
    <w:rsid w:val="00B309E6"/>
    <w:rsid w:val="00B30CC3"/>
    <w:rsid w:val="00B30E05"/>
    <w:rsid w:val="00B3112A"/>
    <w:rsid w:val="00B3163D"/>
    <w:rsid w:val="00B31DF9"/>
    <w:rsid w:val="00B32DEC"/>
    <w:rsid w:val="00B32FFF"/>
    <w:rsid w:val="00B33943"/>
    <w:rsid w:val="00B34436"/>
    <w:rsid w:val="00B347BF"/>
    <w:rsid w:val="00B34C5A"/>
    <w:rsid w:val="00B34ECC"/>
    <w:rsid w:val="00B35CFA"/>
    <w:rsid w:val="00B37B50"/>
    <w:rsid w:val="00B37D3D"/>
    <w:rsid w:val="00B41D66"/>
    <w:rsid w:val="00B421EE"/>
    <w:rsid w:val="00B4388B"/>
    <w:rsid w:val="00B45612"/>
    <w:rsid w:val="00B46232"/>
    <w:rsid w:val="00B46BBD"/>
    <w:rsid w:val="00B46CED"/>
    <w:rsid w:val="00B47DF2"/>
    <w:rsid w:val="00B513E9"/>
    <w:rsid w:val="00B51EFD"/>
    <w:rsid w:val="00B51F81"/>
    <w:rsid w:val="00B53644"/>
    <w:rsid w:val="00B549D8"/>
    <w:rsid w:val="00B5637B"/>
    <w:rsid w:val="00B5661E"/>
    <w:rsid w:val="00B56734"/>
    <w:rsid w:val="00B56B45"/>
    <w:rsid w:val="00B57B94"/>
    <w:rsid w:val="00B60E54"/>
    <w:rsid w:val="00B6111E"/>
    <w:rsid w:val="00B61418"/>
    <w:rsid w:val="00B620BA"/>
    <w:rsid w:val="00B62C92"/>
    <w:rsid w:val="00B62DFD"/>
    <w:rsid w:val="00B63938"/>
    <w:rsid w:val="00B63E23"/>
    <w:rsid w:val="00B63EC4"/>
    <w:rsid w:val="00B64AA1"/>
    <w:rsid w:val="00B64D74"/>
    <w:rsid w:val="00B64FF9"/>
    <w:rsid w:val="00B65041"/>
    <w:rsid w:val="00B6530F"/>
    <w:rsid w:val="00B65461"/>
    <w:rsid w:val="00B657D1"/>
    <w:rsid w:val="00B66966"/>
    <w:rsid w:val="00B66EE1"/>
    <w:rsid w:val="00B6705E"/>
    <w:rsid w:val="00B67CD4"/>
    <w:rsid w:val="00B70A8D"/>
    <w:rsid w:val="00B724C9"/>
    <w:rsid w:val="00B730E0"/>
    <w:rsid w:val="00B735AF"/>
    <w:rsid w:val="00B739D5"/>
    <w:rsid w:val="00B73E6B"/>
    <w:rsid w:val="00B742C5"/>
    <w:rsid w:val="00B7431A"/>
    <w:rsid w:val="00B7535C"/>
    <w:rsid w:val="00B771F4"/>
    <w:rsid w:val="00B7728E"/>
    <w:rsid w:val="00B77376"/>
    <w:rsid w:val="00B775E8"/>
    <w:rsid w:val="00B806AF"/>
    <w:rsid w:val="00B81402"/>
    <w:rsid w:val="00B82082"/>
    <w:rsid w:val="00B82192"/>
    <w:rsid w:val="00B8227E"/>
    <w:rsid w:val="00B8258E"/>
    <w:rsid w:val="00B83094"/>
    <w:rsid w:val="00B83373"/>
    <w:rsid w:val="00B838C7"/>
    <w:rsid w:val="00B83CA9"/>
    <w:rsid w:val="00B84344"/>
    <w:rsid w:val="00B84866"/>
    <w:rsid w:val="00B86558"/>
    <w:rsid w:val="00B873FA"/>
    <w:rsid w:val="00B90209"/>
    <w:rsid w:val="00B90B64"/>
    <w:rsid w:val="00B914AC"/>
    <w:rsid w:val="00B92DC1"/>
    <w:rsid w:val="00B92DDF"/>
    <w:rsid w:val="00B93A93"/>
    <w:rsid w:val="00B93E10"/>
    <w:rsid w:val="00B93F47"/>
    <w:rsid w:val="00B948FE"/>
    <w:rsid w:val="00B94B79"/>
    <w:rsid w:val="00B94F64"/>
    <w:rsid w:val="00B956A1"/>
    <w:rsid w:val="00B966E3"/>
    <w:rsid w:val="00B96AB0"/>
    <w:rsid w:val="00B96C8E"/>
    <w:rsid w:val="00B97F12"/>
    <w:rsid w:val="00BA0B8D"/>
    <w:rsid w:val="00BA1200"/>
    <w:rsid w:val="00BA157E"/>
    <w:rsid w:val="00BA2037"/>
    <w:rsid w:val="00BA2E71"/>
    <w:rsid w:val="00BA303D"/>
    <w:rsid w:val="00BA3EA4"/>
    <w:rsid w:val="00BA4D96"/>
    <w:rsid w:val="00BA4E52"/>
    <w:rsid w:val="00BA5842"/>
    <w:rsid w:val="00BA5DA7"/>
    <w:rsid w:val="00BA60C2"/>
    <w:rsid w:val="00BA6329"/>
    <w:rsid w:val="00BA6BD7"/>
    <w:rsid w:val="00BA715F"/>
    <w:rsid w:val="00BB0919"/>
    <w:rsid w:val="00BB1790"/>
    <w:rsid w:val="00BB1D52"/>
    <w:rsid w:val="00BB223F"/>
    <w:rsid w:val="00BB26EE"/>
    <w:rsid w:val="00BB5B09"/>
    <w:rsid w:val="00BB5B2E"/>
    <w:rsid w:val="00BB6246"/>
    <w:rsid w:val="00BB7262"/>
    <w:rsid w:val="00BB748A"/>
    <w:rsid w:val="00BC06F3"/>
    <w:rsid w:val="00BC22CC"/>
    <w:rsid w:val="00BC2E56"/>
    <w:rsid w:val="00BC35B5"/>
    <w:rsid w:val="00BC3E7D"/>
    <w:rsid w:val="00BC4499"/>
    <w:rsid w:val="00BC48FE"/>
    <w:rsid w:val="00BC60A9"/>
    <w:rsid w:val="00BC6105"/>
    <w:rsid w:val="00BC656E"/>
    <w:rsid w:val="00BC69AC"/>
    <w:rsid w:val="00BC6D0D"/>
    <w:rsid w:val="00BD0A4C"/>
    <w:rsid w:val="00BD1683"/>
    <w:rsid w:val="00BD1C19"/>
    <w:rsid w:val="00BD2E05"/>
    <w:rsid w:val="00BD3452"/>
    <w:rsid w:val="00BD38B8"/>
    <w:rsid w:val="00BD38F1"/>
    <w:rsid w:val="00BD3A25"/>
    <w:rsid w:val="00BD423A"/>
    <w:rsid w:val="00BD497B"/>
    <w:rsid w:val="00BD4EAF"/>
    <w:rsid w:val="00BD55B8"/>
    <w:rsid w:val="00BD5ADB"/>
    <w:rsid w:val="00BD615B"/>
    <w:rsid w:val="00BD6238"/>
    <w:rsid w:val="00BD7DD8"/>
    <w:rsid w:val="00BE0582"/>
    <w:rsid w:val="00BE0E90"/>
    <w:rsid w:val="00BE31E5"/>
    <w:rsid w:val="00BE35EF"/>
    <w:rsid w:val="00BE3A19"/>
    <w:rsid w:val="00BE4891"/>
    <w:rsid w:val="00BE4AE0"/>
    <w:rsid w:val="00BE4E43"/>
    <w:rsid w:val="00BE4EB5"/>
    <w:rsid w:val="00BE579C"/>
    <w:rsid w:val="00BE5BE6"/>
    <w:rsid w:val="00BE5D90"/>
    <w:rsid w:val="00BE5F3F"/>
    <w:rsid w:val="00BE60E7"/>
    <w:rsid w:val="00BE6B0D"/>
    <w:rsid w:val="00BE7046"/>
    <w:rsid w:val="00BE7323"/>
    <w:rsid w:val="00BE77C2"/>
    <w:rsid w:val="00BE7FBB"/>
    <w:rsid w:val="00BF0861"/>
    <w:rsid w:val="00BF0F53"/>
    <w:rsid w:val="00BF1D41"/>
    <w:rsid w:val="00BF2423"/>
    <w:rsid w:val="00BF2BF7"/>
    <w:rsid w:val="00BF3782"/>
    <w:rsid w:val="00BF3C9E"/>
    <w:rsid w:val="00BF3FAE"/>
    <w:rsid w:val="00BF5209"/>
    <w:rsid w:val="00BF5B54"/>
    <w:rsid w:val="00BF5FBB"/>
    <w:rsid w:val="00BF6BB8"/>
    <w:rsid w:val="00BF73B8"/>
    <w:rsid w:val="00BF7441"/>
    <w:rsid w:val="00BF7719"/>
    <w:rsid w:val="00C0018B"/>
    <w:rsid w:val="00C01105"/>
    <w:rsid w:val="00C01226"/>
    <w:rsid w:val="00C018CA"/>
    <w:rsid w:val="00C029ED"/>
    <w:rsid w:val="00C02F9C"/>
    <w:rsid w:val="00C03781"/>
    <w:rsid w:val="00C046D8"/>
    <w:rsid w:val="00C04C72"/>
    <w:rsid w:val="00C057DF"/>
    <w:rsid w:val="00C06612"/>
    <w:rsid w:val="00C066AD"/>
    <w:rsid w:val="00C067AA"/>
    <w:rsid w:val="00C06A7F"/>
    <w:rsid w:val="00C07180"/>
    <w:rsid w:val="00C077AE"/>
    <w:rsid w:val="00C107F0"/>
    <w:rsid w:val="00C10F3D"/>
    <w:rsid w:val="00C11308"/>
    <w:rsid w:val="00C118DE"/>
    <w:rsid w:val="00C12AF8"/>
    <w:rsid w:val="00C13454"/>
    <w:rsid w:val="00C13502"/>
    <w:rsid w:val="00C13559"/>
    <w:rsid w:val="00C1368A"/>
    <w:rsid w:val="00C1368D"/>
    <w:rsid w:val="00C13D12"/>
    <w:rsid w:val="00C14EDE"/>
    <w:rsid w:val="00C167C0"/>
    <w:rsid w:val="00C16A4C"/>
    <w:rsid w:val="00C179EB"/>
    <w:rsid w:val="00C2006C"/>
    <w:rsid w:val="00C203E9"/>
    <w:rsid w:val="00C20422"/>
    <w:rsid w:val="00C2068A"/>
    <w:rsid w:val="00C209CC"/>
    <w:rsid w:val="00C20CC5"/>
    <w:rsid w:val="00C20F64"/>
    <w:rsid w:val="00C21D9B"/>
    <w:rsid w:val="00C23411"/>
    <w:rsid w:val="00C23D61"/>
    <w:rsid w:val="00C24527"/>
    <w:rsid w:val="00C2484F"/>
    <w:rsid w:val="00C24D3D"/>
    <w:rsid w:val="00C25D14"/>
    <w:rsid w:val="00C25E9E"/>
    <w:rsid w:val="00C26A2A"/>
    <w:rsid w:val="00C26AC9"/>
    <w:rsid w:val="00C26ACB"/>
    <w:rsid w:val="00C27448"/>
    <w:rsid w:val="00C274A7"/>
    <w:rsid w:val="00C27509"/>
    <w:rsid w:val="00C278D8"/>
    <w:rsid w:val="00C279AA"/>
    <w:rsid w:val="00C27A53"/>
    <w:rsid w:val="00C300CE"/>
    <w:rsid w:val="00C3038B"/>
    <w:rsid w:val="00C30874"/>
    <w:rsid w:val="00C30DE4"/>
    <w:rsid w:val="00C31562"/>
    <w:rsid w:val="00C318B1"/>
    <w:rsid w:val="00C31EF3"/>
    <w:rsid w:val="00C321B6"/>
    <w:rsid w:val="00C335DC"/>
    <w:rsid w:val="00C33EC5"/>
    <w:rsid w:val="00C347CD"/>
    <w:rsid w:val="00C34AB4"/>
    <w:rsid w:val="00C34BE6"/>
    <w:rsid w:val="00C368E3"/>
    <w:rsid w:val="00C36BE5"/>
    <w:rsid w:val="00C36C90"/>
    <w:rsid w:val="00C37988"/>
    <w:rsid w:val="00C37D44"/>
    <w:rsid w:val="00C37D71"/>
    <w:rsid w:val="00C37EB6"/>
    <w:rsid w:val="00C40B5A"/>
    <w:rsid w:val="00C40DC0"/>
    <w:rsid w:val="00C41488"/>
    <w:rsid w:val="00C414A0"/>
    <w:rsid w:val="00C41827"/>
    <w:rsid w:val="00C41B68"/>
    <w:rsid w:val="00C41D1B"/>
    <w:rsid w:val="00C41F6B"/>
    <w:rsid w:val="00C42A54"/>
    <w:rsid w:val="00C42E15"/>
    <w:rsid w:val="00C43F83"/>
    <w:rsid w:val="00C44097"/>
    <w:rsid w:val="00C448DC"/>
    <w:rsid w:val="00C4510E"/>
    <w:rsid w:val="00C455FE"/>
    <w:rsid w:val="00C459C9"/>
    <w:rsid w:val="00C46446"/>
    <w:rsid w:val="00C46570"/>
    <w:rsid w:val="00C472AF"/>
    <w:rsid w:val="00C47EE4"/>
    <w:rsid w:val="00C50CD9"/>
    <w:rsid w:val="00C5204F"/>
    <w:rsid w:val="00C5395D"/>
    <w:rsid w:val="00C5397D"/>
    <w:rsid w:val="00C53E35"/>
    <w:rsid w:val="00C53F6D"/>
    <w:rsid w:val="00C544A0"/>
    <w:rsid w:val="00C5550D"/>
    <w:rsid w:val="00C56210"/>
    <w:rsid w:val="00C56839"/>
    <w:rsid w:val="00C613CA"/>
    <w:rsid w:val="00C617EA"/>
    <w:rsid w:val="00C61A53"/>
    <w:rsid w:val="00C61BC1"/>
    <w:rsid w:val="00C623B2"/>
    <w:rsid w:val="00C64338"/>
    <w:rsid w:val="00C64952"/>
    <w:rsid w:val="00C64D45"/>
    <w:rsid w:val="00C65674"/>
    <w:rsid w:val="00C65684"/>
    <w:rsid w:val="00C65928"/>
    <w:rsid w:val="00C661E0"/>
    <w:rsid w:val="00C668DA"/>
    <w:rsid w:val="00C66F3D"/>
    <w:rsid w:val="00C6772E"/>
    <w:rsid w:val="00C67867"/>
    <w:rsid w:val="00C679B5"/>
    <w:rsid w:val="00C7011B"/>
    <w:rsid w:val="00C70723"/>
    <w:rsid w:val="00C711C4"/>
    <w:rsid w:val="00C7168B"/>
    <w:rsid w:val="00C716D6"/>
    <w:rsid w:val="00C726A6"/>
    <w:rsid w:val="00C73BB2"/>
    <w:rsid w:val="00C73D05"/>
    <w:rsid w:val="00C749F9"/>
    <w:rsid w:val="00C76429"/>
    <w:rsid w:val="00C7644D"/>
    <w:rsid w:val="00C765FD"/>
    <w:rsid w:val="00C7662B"/>
    <w:rsid w:val="00C76D70"/>
    <w:rsid w:val="00C8150B"/>
    <w:rsid w:val="00C82697"/>
    <w:rsid w:val="00C8285C"/>
    <w:rsid w:val="00C831C2"/>
    <w:rsid w:val="00C83248"/>
    <w:rsid w:val="00C83331"/>
    <w:rsid w:val="00C833E0"/>
    <w:rsid w:val="00C834E3"/>
    <w:rsid w:val="00C836BA"/>
    <w:rsid w:val="00C84197"/>
    <w:rsid w:val="00C8491B"/>
    <w:rsid w:val="00C850D8"/>
    <w:rsid w:val="00C8565F"/>
    <w:rsid w:val="00C86709"/>
    <w:rsid w:val="00C86A5E"/>
    <w:rsid w:val="00C87A14"/>
    <w:rsid w:val="00C905A6"/>
    <w:rsid w:val="00C90763"/>
    <w:rsid w:val="00C91723"/>
    <w:rsid w:val="00C9260A"/>
    <w:rsid w:val="00C92A25"/>
    <w:rsid w:val="00C9316D"/>
    <w:rsid w:val="00C94E8F"/>
    <w:rsid w:val="00C95605"/>
    <w:rsid w:val="00C961F2"/>
    <w:rsid w:val="00C973AE"/>
    <w:rsid w:val="00C9759C"/>
    <w:rsid w:val="00C97AA0"/>
    <w:rsid w:val="00C97D73"/>
    <w:rsid w:val="00C97F72"/>
    <w:rsid w:val="00CA0164"/>
    <w:rsid w:val="00CA0298"/>
    <w:rsid w:val="00CA096B"/>
    <w:rsid w:val="00CA13EE"/>
    <w:rsid w:val="00CA19B5"/>
    <w:rsid w:val="00CA2B9A"/>
    <w:rsid w:val="00CA40C2"/>
    <w:rsid w:val="00CA48EF"/>
    <w:rsid w:val="00CA50D2"/>
    <w:rsid w:val="00CA5F84"/>
    <w:rsid w:val="00CA6494"/>
    <w:rsid w:val="00CA6906"/>
    <w:rsid w:val="00CB05BE"/>
    <w:rsid w:val="00CB0EAB"/>
    <w:rsid w:val="00CB141A"/>
    <w:rsid w:val="00CB1C01"/>
    <w:rsid w:val="00CB31A7"/>
    <w:rsid w:val="00CB35E8"/>
    <w:rsid w:val="00CB3659"/>
    <w:rsid w:val="00CB48D5"/>
    <w:rsid w:val="00CB50EB"/>
    <w:rsid w:val="00CB5591"/>
    <w:rsid w:val="00CB5ACB"/>
    <w:rsid w:val="00CB5EFA"/>
    <w:rsid w:val="00CB6DD4"/>
    <w:rsid w:val="00CB745F"/>
    <w:rsid w:val="00CC0BAD"/>
    <w:rsid w:val="00CC0BAE"/>
    <w:rsid w:val="00CC0DEB"/>
    <w:rsid w:val="00CC1182"/>
    <w:rsid w:val="00CC1649"/>
    <w:rsid w:val="00CC187B"/>
    <w:rsid w:val="00CC220F"/>
    <w:rsid w:val="00CC2238"/>
    <w:rsid w:val="00CC2690"/>
    <w:rsid w:val="00CC288A"/>
    <w:rsid w:val="00CC322A"/>
    <w:rsid w:val="00CC3861"/>
    <w:rsid w:val="00CC40AA"/>
    <w:rsid w:val="00CC442C"/>
    <w:rsid w:val="00CC45DF"/>
    <w:rsid w:val="00CC544C"/>
    <w:rsid w:val="00CC5EF2"/>
    <w:rsid w:val="00CC6F1B"/>
    <w:rsid w:val="00CC781C"/>
    <w:rsid w:val="00CC7C5D"/>
    <w:rsid w:val="00CD0642"/>
    <w:rsid w:val="00CD0D07"/>
    <w:rsid w:val="00CD0D43"/>
    <w:rsid w:val="00CD136C"/>
    <w:rsid w:val="00CD1D5D"/>
    <w:rsid w:val="00CD1FBC"/>
    <w:rsid w:val="00CD25EA"/>
    <w:rsid w:val="00CD29D5"/>
    <w:rsid w:val="00CD2E14"/>
    <w:rsid w:val="00CD3002"/>
    <w:rsid w:val="00CD301C"/>
    <w:rsid w:val="00CD3E93"/>
    <w:rsid w:val="00CD4482"/>
    <w:rsid w:val="00CD46B3"/>
    <w:rsid w:val="00CD5911"/>
    <w:rsid w:val="00CD5F62"/>
    <w:rsid w:val="00CD659B"/>
    <w:rsid w:val="00CD6B41"/>
    <w:rsid w:val="00CD72B0"/>
    <w:rsid w:val="00CD760C"/>
    <w:rsid w:val="00CD7653"/>
    <w:rsid w:val="00CD7CDB"/>
    <w:rsid w:val="00CD7D9D"/>
    <w:rsid w:val="00CD7E15"/>
    <w:rsid w:val="00CD7E78"/>
    <w:rsid w:val="00CE047D"/>
    <w:rsid w:val="00CE04D4"/>
    <w:rsid w:val="00CE1637"/>
    <w:rsid w:val="00CE2E76"/>
    <w:rsid w:val="00CE3253"/>
    <w:rsid w:val="00CE3E19"/>
    <w:rsid w:val="00CE3E66"/>
    <w:rsid w:val="00CE411A"/>
    <w:rsid w:val="00CE53D2"/>
    <w:rsid w:val="00CE57A9"/>
    <w:rsid w:val="00CE57D8"/>
    <w:rsid w:val="00CE5816"/>
    <w:rsid w:val="00CE595E"/>
    <w:rsid w:val="00CE62DF"/>
    <w:rsid w:val="00CF1209"/>
    <w:rsid w:val="00CF2116"/>
    <w:rsid w:val="00CF2CDE"/>
    <w:rsid w:val="00CF322C"/>
    <w:rsid w:val="00CF3725"/>
    <w:rsid w:val="00CF3B41"/>
    <w:rsid w:val="00CF3E96"/>
    <w:rsid w:val="00CF458C"/>
    <w:rsid w:val="00CF4B62"/>
    <w:rsid w:val="00CF4FC6"/>
    <w:rsid w:val="00CF5156"/>
    <w:rsid w:val="00CF6343"/>
    <w:rsid w:val="00CF6A8E"/>
    <w:rsid w:val="00CF7600"/>
    <w:rsid w:val="00D00E6A"/>
    <w:rsid w:val="00D01D92"/>
    <w:rsid w:val="00D0284C"/>
    <w:rsid w:val="00D030AA"/>
    <w:rsid w:val="00D0467B"/>
    <w:rsid w:val="00D04762"/>
    <w:rsid w:val="00D05266"/>
    <w:rsid w:val="00D06725"/>
    <w:rsid w:val="00D06DD6"/>
    <w:rsid w:val="00D06FEA"/>
    <w:rsid w:val="00D074C4"/>
    <w:rsid w:val="00D0763A"/>
    <w:rsid w:val="00D07CC9"/>
    <w:rsid w:val="00D07E23"/>
    <w:rsid w:val="00D07E4B"/>
    <w:rsid w:val="00D113B1"/>
    <w:rsid w:val="00D11847"/>
    <w:rsid w:val="00D11B7D"/>
    <w:rsid w:val="00D11FA0"/>
    <w:rsid w:val="00D1229E"/>
    <w:rsid w:val="00D1237F"/>
    <w:rsid w:val="00D1288E"/>
    <w:rsid w:val="00D14DF1"/>
    <w:rsid w:val="00D16ABE"/>
    <w:rsid w:val="00D16E5E"/>
    <w:rsid w:val="00D16EAC"/>
    <w:rsid w:val="00D16F0F"/>
    <w:rsid w:val="00D16FE9"/>
    <w:rsid w:val="00D17836"/>
    <w:rsid w:val="00D17881"/>
    <w:rsid w:val="00D206C3"/>
    <w:rsid w:val="00D20B9E"/>
    <w:rsid w:val="00D22543"/>
    <w:rsid w:val="00D226E9"/>
    <w:rsid w:val="00D22BB1"/>
    <w:rsid w:val="00D22BB2"/>
    <w:rsid w:val="00D23084"/>
    <w:rsid w:val="00D230A4"/>
    <w:rsid w:val="00D23B44"/>
    <w:rsid w:val="00D23B93"/>
    <w:rsid w:val="00D23C5E"/>
    <w:rsid w:val="00D24C3B"/>
    <w:rsid w:val="00D25140"/>
    <w:rsid w:val="00D25884"/>
    <w:rsid w:val="00D269D5"/>
    <w:rsid w:val="00D26F8E"/>
    <w:rsid w:val="00D272C4"/>
    <w:rsid w:val="00D30489"/>
    <w:rsid w:val="00D30492"/>
    <w:rsid w:val="00D30D99"/>
    <w:rsid w:val="00D3100F"/>
    <w:rsid w:val="00D310F1"/>
    <w:rsid w:val="00D311D3"/>
    <w:rsid w:val="00D315C3"/>
    <w:rsid w:val="00D31B9D"/>
    <w:rsid w:val="00D32851"/>
    <w:rsid w:val="00D32FFB"/>
    <w:rsid w:val="00D33058"/>
    <w:rsid w:val="00D33FBE"/>
    <w:rsid w:val="00D34027"/>
    <w:rsid w:val="00D345A1"/>
    <w:rsid w:val="00D34DB3"/>
    <w:rsid w:val="00D34F9C"/>
    <w:rsid w:val="00D35327"/>
    <w:rsid w:val="00D35476"/>
    <w:rsid w:val="00D35538"/>
    <w:rsid w:val="00D359F9"/>
    <w:rsid w:val="00D35C89"/>
    <w:rsid w:val="00D35E95"/>
    <w:rsid w:val="00D36735"/>
    <w:rsid w:val="00D36A33"/>
    <w:rsid w:val="00D36E7B"/>
    <w:rsid w:val="00D37511"/>
    <w:rsid w:val="00D37D15"/>
    <w:rsid w:val="00D4028D"/>
    <w:rsid w:val="00D40C24"/>
    <w:rsid w:val="00D40DA2"/>
    <w:rsid w:val="00D415BC"/>
    <w:rsid w:val="00D41CF5"/>
    <w:rsid w:val="00D41F62"/>
    <w:rsid w:val="00D42AE8"/>
    <w:rsid w:val="00D4332A"/>
    <w:rsid w:val="00D43661"/>
    <w:rsid w:val="00D43BD9"/>
    <w:rsid w:val="00D43F68"/>
    <w:rsid w:val="00D44994"/>
    <w:rsid w:val="00D44AE9"/>
    <w:rsid w:val="00D44B26"/>
    <w:rsid w:val="00D44F2C"/>
    <w:rsid w:val="00D44FC6"/>
    <w:rsid w:val="00D4544D"/>
    <w:rsid w:val="00D46D53"/>
    <w:rsid w:val="00D4733A"/>
    <w:rsid w:val="00D4780F"/>
    <w:rsid w:val="00D47B73"/>
    <w:rsid w:val="00D51F5E"/>
    <w:rsid w:val="00D52179"/>
    <w:rsid w:val="00D52697"/>
    <w:rsid w:val="00D52D59"/>
    <w:rsid w:val="00D53686"/>
    <w:rsid w:val="00D53A5E"/>
    <w:rsid w:val="00D53C92"/>
    <w:rsid w:val="00D53D2A"/>
    <w:rsid w:val="00D55181"/>
    <w:rsid w:val="00D555A3"/>
    <w:rsid w:val="00D56292"/>
    <w:rsid w:val="00D564F4"/>
    <w:rsid w:val="00D565C4"/>
    <w:rsid w:val="00D57014"/>
    <w:rsid w:val="00D57281"/>
    <w:rsid w:val="00D5761B"/>
    <w:rsid w:val="00D57A9B"/>
    <w:rsid w:val="00D57DA0"/>
    <w:rsid w:val="00D57DA7"/>
    <w:rsid w:val="00D57EE5"/>
    <w:rsid w:val="00D57F1D"/>
    <w:rsid w:val="00D60081"/>
    <w:rsid w:val="00D608E0"/>
    <w:rsid w:val="00D60F73"/>
    <w:rsid w:val="00D61401"/>
    <w:rsid w:val="00D61628"/>
    <w:rsid w:val="00D61F68"/>
    <w:rsid w:val="00D621DE"/>
    <w:rsid w:val="00D62366"/>
    <w:rsid w:val="00D6254F"/>
    <w:rsid w:val="00D63D4E"/>
    <w:rsid w:val="00D64597"/>
    <w:rsid w:val="00D645F4"/>
    <w:rsid w:val="00D67C2D"/>
    <w:rsid w:val="00D67D6C"/>
    <w:rsid w:val="00D70359"/>
    <w:rsid w:val="00D70B6E"/>
    <w:rsid w:val="00D7103F"/>
    <w:rsid w:val="00D719C8"/>
    <w:rsid w:val="00D71E4E"/>
    <w:rsid w:val="00D71FBA"/>
    <w:rsid w:val="00D721AB"/>
    <w:rsid w:val="00D72BBF"/>
    <w:rsid w:val="00D72EE8"/>
    <w:rsid w:val="00D72FBE"/>
    <w:rsid w:val="00D734BA"/>
    <w:rsid w:val="00D7359F"/>
    <w:rsid w:val="00D73E84"/>
    <w:rsid w:val="00D73ECC"/>
    <w:rsid w:val="00D74987"/>
    <w:rsid w:val="00D74A7D"/>
    <w:rsid w:val="00D74C05"/>
    <w:rsid w:val="00D752A7"/>
    <w:rsid w:val="00D7547A"/>
    <w:rsid w:val="00D75A77"/>
    <w:rsid w:val="00D76B21"/>
    <w:rsid w:val="00D76FF8"/>
    <w:rsid w:val="00D770F8"/>
    <w:rsid w:val="00D771DD"/>
    <w:rsid w:val="00D7732A"/>
    <w:rsid w:val="00D774F5"/>
    <w:rsid w:val="00D77B9D"/>
    <w:rsid w:val="00D77D64"/>
    <w:rsid w:val="00D80708"/>
    <w:rsid w:val="00D8123B"/>
    <w:rsid w:val="00D822F9"/>
    <w:rsid w:val="00D8290D"/>
    <w:rsid w:val="00D83DEA"/>
    <w:rsid w:val="00D843D3"/>
    <w:rsid w:val="00D8458D"/>
    <w:rsid w:val="00D84B80"/>
    <w:rsid w:val="00D84CF9"/>
    <w:rsid w:val="00D84F90"/>
    <w:rsid w:val="00D85113"/>
    <w:rsid w:val="00D85D89"/>
    <w:rsid w:val="00D866BE"/>
    <w:rsid w:val="00D8734F"/>
    <w:rsid w:val="00D87497"/>
    <w:rsid w:val="00D877ED"/>
    <w:rsid w:val="00D87A14"/>
    <w:rsid w:val="00D87BF8"/>
    <w:rsid w:val="00D87EE5"/>
    <w:rsid w:val="00D90087"/>
    <w:rsid w:val="00D90453"/>
    <w:rsid w:val="00D91B4A"/>
    <w:rsid w:val="00D91ECE"/>
    <w:rsid w:val="00D925A8"/>
    <w:rsid w:val="00D92C69"/>
    <w:rsid w:val="00D933A1"/>
    <w:rsid w:val="00D94F72"/>
    <w:rsid w:val="00D95143"/>
    <w:rsid w:val="00D96930"/>
    <w:rsid w:val="00D96D4F"/>
    <w:rsid w:val="00D97433"/>
    <w:rsid w:val="00D976B2"/>
    <w:rsid w:val="00D97ABF"/>
    <w:rsid w:val="00DA126A"/>
    <w:rsid w:val="00DA1420"/>
    <w:rsid w:val="00DA190D"/>
    <w:rsid w:val="00DA1EF2"/>
    <w:rsid w:val="00DA1F88"/>
    <w:rsid w:val="00DA22BF"/>
    <w:rsid w:val="00DA2E91"/>
    <w:rsid w:val="00DA3055"/>
    <w:rsid w:val="00DA357A"/>
    <w:rsid w:val="00DA401B"/>
    <w:rsid w:val="00DA4638"/>
    <w:rsid w:val="00DA570E"/>
    <w:rsid w:val="00DA5842"/>
    <w:rsid w:val="00DA5C76"/>
    <w:rsid w:val="00DA5C8C"/>
    <w:rsid w:val="00DA5FF9"/>
    <w:rsid w:val="00DA7D1B"/>
    <w:rsid w:val="00DB0123"/>
    <w:rsid w:val="00DB0B48"/>
    <w:rsid w:val="00DB0BA2"/>
    <w:rsid w:val="00DB0D3D"/>
    <w:rsid w:val="00DB126A"/>
    <w:rsid w:val="00DB162F"/>
    <w:rsid w:val="00DB1E21"/>
    <w:rsid w:val="00DB1F20"/>
    <w:rsid w:val="00DB282E"/>
    <w:rsid w:val="00DB2E1E"/>
    <w:rsid w:val="00DB2E92"/>
    <w:rsid w:val="00DB358A"/>
    <w:rsid w:val="00DB3B35"/>
    <w:rsid w:val="00DB3C5A"/>
    <w:rsid w:val="00DB3EA0"/>
    <w:rsid w:val="00DB4063"/>
    <w:rsid w:val="00DB4496"/>
    <w:rsid w:val="00DB4DB5"/>
    <w:rsid w:val="00DB5549"/>
    <w:rsid w:val="00DB5A33"/>
    <w:rsid w:val="00DB613F"/>
    <w:rsid w:val="00DB6221"/>
    <w:rsid w:val="00DB659E"/>
    <w:rsid w:val="00DB6B1E"/>
    <w:rsid w:val="00DB6FA4"/>
    <w:rsid w:val="00DB7133"/>
    <w:rsid w:val="00DB72CC"/>
    <w:rsid w:val="00DB7431"/>
    <w:rsid w:val="00DC00E9"/>
    <w:rsid w:val="00DC0E49"/>
    <w:rsid w:val="00DC0F5F"/>
    <w:rsid w:val="00DC2212"/>
    <w:rsid w:val="00DC2421"/>
    <w:rsid w:val="00DC2FF5"/>
    <w:rsid w:val="00DC33C3"/>
    <w:rsid w:val="00DC365F"/>
    <w:rsid w:val="00DC37F6"/>
    <w:rsid w:val="00DC39D6"/>
    <w:rsid w:val="00DC3E51"/>
    <w:rsid w:val="00DC4482"/>
    <w:rsid w:val="00DC45A9"/>
    <w:rsid w:val="00DC57BB"/>
    <w:rsid w:val="00DC6F00"/>
    <w:rsid w:val="00DC776D"/>
    <w:rsid w:val="00DD040F"/>
    <w:rsid w:val="00DD11C1"/>
    <w:rsid w:val="00DD1776"/>
    <w:rsid w:val="00DD3738"/>
    <w:rsid w:val="00DD3F69"/>
    <w:rsid w:val="00DD4B86"/>
    <w:rsid w:val="00DD58E8"/>
    <w:rsid w:val="00DD60C9"/>
    <w:rsid w:val="00DD637A"/>
    <w:rsid w:val="00DD6C71"/>
    <w:rsid w:val="00DD74A8"/>
    <w:rsid w:val="00DD7856"/>
    <w:rsid w:val="00DE02CB"/>
    <w:rsid w:val="00DE06CB"/>
    <w:rsid w:val="00DE0F87"/>
    <w:rsid w:val="00DE134A"/>
    <w:rsid w:val="00DE2472"/>
    <w:rsid w:val="00DE2592"/>
    <w:rsid w:val="00DE29E7"/>
    <w:rsid w:val="00DE2D62"/>
    <w:rsid w:val="00DE303F"/>
    <w:rsid w:val="00DE3664"/>
    <w:rsid w:val="00DE3869"/>
    <w:rsid w:val="00DE3B76"/>
    <w:rsid w:val="00DE3F06"/>
    <w:rsid w:val="00DE450F"/>
    <w:rsid w:val="00DE4C8A"/>
    <w:rsid w:val="00DE4FC7"/>
    <w:rsid w:val="00DE531F"/>
    <w:rsid w:val="00DE5CF2"/>
    <w:rsid w:val="00DE6AA9"/>
    <w:rsid w:val="00DE7141"/>
    <w:rsid w:val="00DE75C1"/>
    <w:rsid w:val="00DE7E53"/>
    <w:rsid w:val="00DF00DD"/>
    <w:rsid w:val="00DF063C"/>
    <w:rsid w:val="00DF07B2"/>
    <w:rsid w:val="00DF0B2C"/>
    <w:rsid w:val="00DF0DE7"/>
    <w:rsid w:val="00DF0EBD"/>
    <w:rsid w:val="00DF121D"/>
    <w:rsid w:val="00DF139A"/>
    <w:rsid w:val="00DF167D"/>
    <w:rsid w:val="00DF1F14"/>
    <w:rsid w:val="00DF2201"/>
    <w:rsid w:val="00DF2390"/>
    <w:rsid w:val="00DF23CA"/>
    <w:rsid w:val="00DF2500"/>
    <w:rsid w:val="00DF33F9"/>
    <w:rsid w:val="00DF3771"/>
    <w:rsid w:val="00DF3846"/>
    <w:rsid w:val="00DF447A"/>
    <w:rsid w:val="00DF6396"/>
    <w:rsid w:val="00DF6754"/>
    <w:rsid w:val="00DF717B"/>
    <w:rsid w:val="00DF7392"/>
    <w:rsid w:val="00DF7887"/>
    <w:rsid w:val="00DF79AB"/>
    <w:rsid w:val="00DF7D52"/>
    <w:rsid w:val="00E00925"/>
    <w:rsid w:val="00E00B28"/>
    <w:rsid w:val="00E00DC2"/>
    <w:rsid w:val="00E026E1"/>
    <w:rsid w:val="00E03488"/>
    <w:rsid w:val="00E041A6"/>
    <w:rsid w:val="00E04475"/>
    <w:rsid w:val="00E05B51"/>
    <w:rsid w:val="00E05D7C"/>
    <w:rsid w:val="00E06F0C"/>
    <w:rsid w:val="00E0753C"/>
    <w:rsid w:val="00E10B4A"/>
    <w:rsid w:val="00E12898"/>
    <w:rsid w:val="00E1306C"/>
    <w:rsid w:val="00E13331"/>
    <w:rsid w:val="00E13363"/>
    <w:rsid w:val="00E134D2"/>
    <w:rsid w:val="00E13CC6"/>
    <w:rsid w:val="00E13D30"/>
    <w:rsid w:val="00E146FA"/>
    <w:rsid w:val="00E148DD"/>
    <w:rsid w:val="00E14AC9"/>
    <w:rsid w:val="00E155CA"/>
    <w:rsid w:val="00E15BB5"/>
    <w:rsid w:val="00E1652E"/>
    <w:rsid w:val="00E16916"/>
    <w:rsid w:val="00E16D41"/>
    <w:rsid w:val="00E1755E"/>
    <w:rsid w:val="00E20691"/>
    <w:rsid w:val="00E21832"/>
    <w:rsid w:val="00E22E2B"/>
    <w:rsid w:val="00E23651"/>
    <w:rsid w:val="00E23BDE"/>
    <w:rsid w:val="00E24597"/>
    <w:rsid w:val="00E24752"/>
    <w:rsid w:val="00E25FEE"/>
    <w:rsid w:val="00E264EB"/>
    <w:rsid w:val="00E273B5"/>
    <w:rsid w:val="00E27862"/>
    <w:rsid w:val="00E27961"/>
    <w:rsid w:val="00E27C0F"/>
    <w:rsid w:val="00E27F53"/>
    <w:rsid w:val="00E301DD"/>
    <w:rsid w:val="00E30262"/>
    <w:rsid w:val="00E305B1"/>
    <w:rsid w:val="00E3078C"/>
    <w:rsid w:val="00E30966"/>
    <w:rsid w:val="00E30C95"/>
    <w:rsid w:val="00E3146D"/>
    <w:rsid w:val="00E318B7"/>
    <w:rsid w:val="00E318CD"/>
    <w:rsid w:val="00E3228E"/>
    <w:rsid w:val="00E3240A"/>
    <w:rsid w:val="00E33085"/>
    <w:rsid w:val="00E332CC"/>
    <w:rsid w:val="00E3338D"/>
    <w:rsid w:val="00E334EC"/>
    <w:rsid w:val="00E33E3D"/>
    <w:rsid w:val="00E342F9"/>
    <w:rsid w:val="00E34821"/>
    <w:rsid w:val="00E34C82"/>
    <w:rsid w:val="00E357EB"/>
    <w:rsid w:val="00E35804"/>
    <w:rsid w:val="00E362E6"/>
    <w:rsid w:val="00E36852"/>
    <w:rsid w:val="00E36DA3"/>
    <w:rsid w:val="00E40184"/>
    <w:rsid w:val="00E406DF"/>
    <w:rsid w:val="00E40CAC"/>
    <w:rsid w:val="00E40D36"/>
    <w:rsid w:val="00E41820"/>
    <w:rsid w:val="00E42DAE"/>
    <w:rsid w:val="00E43E7F"/>
    <w:rsid w:val="00E44944"/>
    <w:rsid w:val="00E449A6"/>
    <w:rsid w:val="00E44C36"/>
    <w:rsid w:val="00E44DF1"/>
    <w:rsid w:val="00E4569B"/>
    <w:rsid w:val="00E45750"/>
    <w:rsid w:val="00E45772"/>
    <w:rsid w:val="00E46033"/>
    <w:rsid w:val="00E462B2"/>
    <w:rsid w:val="00E47CA2"/>
    <w:rsid w:val="00E47D34"/>
    <w:rsid w:val="00E47F8B"/>
    <w:rsid w:val="00E503C5"/>
    <w:rsid w:val="00E510AD"/>
    <w:rsid w:val="00E515DD"/>
    <w:rsid w:val="00E53275"/>
    <w:rsid w:val="00E55396"/>
    <w:rsid w:val="00E56061"/>
    <w:rsid w:val="00E56BDA"/>
    <w:rsid w:val="00E56E33"/>
    <w:rsid w:val="00E56F10"/>
    <w:rsid w:val="00E57068"/>
    <w:rsid w:val="00E5739F"/>
    <w:rsid w:val="00E57755"/>
    <w:rsid w:val="00E61569"/>
    <w:rsid w:val="00E61A45"/>
    <w:rsid w:val="00E61CE9"/>
    <w:rsid w:val="00E62320"/>
    <w:rsid w:val="00E62488"/>
    <w:rsid w:val="00E62711"/>
    <w:rsid w:val="00E6304F"/>
    <w:rsid w:val="00E6341D"/>
    <w:rsid w:val="00E643E4"/>
    <w:rsid w:val="00E65461"/>
    <w:rsid w:val="00E65D66"/>
    <w:rsid w:val="00E66276"/>
    <w:rsid w:val="00E66624"/>
    <w:rsid w:val="00E66872"/>
    <w:rsid w:val="00E66CB0"/>
    <w:rsid w:val="00E67339"/>
    <w:rsid w:val="00E67968"/>
    <w:rsid w:val="00E70074"/>
    <w:rsid w:val="00E70B00"/>
    <w:rsid w:val="00E7126B"/>
    <w:rsid w:val="00E71571"/>
    <w:rsid w:val="00E715EC"/>
    <w:rsid w:val="00E72660"/>
    <w:rsid w:val="00E72A4E"/>
    <w:rsid w:val="00E72FFC"/>
    <w:rsid w:val="00E746D2"/>
    <w:rsid w:val="00E74D01"/>
    <w:rsid w:val="00E74D4E"/>
    <w:rsid w:val="00E74DF9"/>
    <w:rsid w:val="00E75743"/>
    <w:rsid w:val="00E7575E"/>
    <w:rsid w:val="00E75CB5"/>
    <w:rsid w:val="00E77CE0"/>
    <w:rsid w:val="00E77E30"/>
    <w:rsid w:val="00E808C7"/>
    <w:rsid w:val="00E809FB"/>
    <w:rsid w:val="00E80D4B"/>
    <w:rsid w:val="00E82424"/>
    <w:rsid w:val="00E83E8D"/>
    <w:rsid w:val="00E84154"/>
    <w:rsid w:val="00E84B72"/>
    <w:rsid w:val="00E84F4B"/>
    <w:rsid w:val="00E85D2E"/>
    <w:rsid w:val="00E8780B"/>
    <w:rsid w:val="00E87DF5"/>
    <w:rsid w:val="00E901A8"/>
    <w:rsid w:val="00E9023B"/>
    <w:rsid w:val="00E90CF8"/>
    <w:rsid w:val="00E91044"/>
    <w:rsid w:val="00E91077"/>
    <w:rsid w:val="00E917FC"/>
    <w:rsid w:val="00E91CB2"/>
    <w:rsid w:val="00E920B5"/>
    <w:rsid w:val="00E92160"/>
    <w:rsid w:val="00E9245C"/>
    <w:rsid w:val="00E92972"/>
    <w:rsid w:val="00E9341E"/>
    <w:rsid w:val="00E948FB"/>
    <w:rsid w:val="00E95390"/>
    <w:rsid w:val="00E95477"/>
    <w:rsid w:val="00E95A19"/>
    <w:rsid w:val="00E96866"/>
    <w:rsid w:val="00E96F7A"/>
    <w:rsid w:val="00E97AD3"/>
    <w:rsid w:val="00E97E0B"/>
    <w:rsid w:val="00E97ED6"/>
    <w:rsid w:val="00EA0289"/>
    <w:rsid w:val="00EA078F"/>
    <w:rsid w:val="00EA0A44"/>
    <w:rsid w:val="00EA0D20"/>
    <w:rsid w:val="00EA1ABD"/>
    <w:rsid w:val="00EA1E3B"/>
    <w:rsid w:val="00EA1EF8"/>
    <w:rsid w:val="00EA24B2"/>
    <w:rsid w:val="00EA24E4"/>
    <w:rsid w:val="00EA28CE"/>
    <w:rsid w:val="00EA2985"/>
    <w:rsid w:val="00EA400B"/>
    <w:rsid w:val="00EA424D"/>
    <w:rsid w:val="00EA49C4"/>
    <w:rsid w:val="00EA4F0A"/>
    <w:rsid w:val="00EA51C7"/>
    <w:rsid w:val="00EA5336"/>
    <w:rsid w:val="00EA5AB0"/>
    <w:rsid w:val="00EA5B86"/>
    <w:rsid w:val="00EA6A3E"/>
    <w:rsid w:val="00EA7EB3"/>
    <w:rsid w:val="00EB0084"/>
    <w:rsid w:val="00EB0A6E"/>
    <w:rsid w:val="00EB0C2A"/>
    <w:rsid w:val="00EB0C55"/>
    <w:rsid w:val="00EB17C1"/>
    <w:rsid w:val="00EB30E1"/>
    <w:rsid w:val="00EB3976"/>
    <w:rsid w:val="00EB44C4"/>
    <w:rsid w:val="00EB4FCE"/>
    <w:rsid w:val="00EB51AE"/>
    <w:rsid w:val="00EB54E7"/>
    <w:rsid w:val="00EB6C4A"/>
    <w:rsid w:val="00EB7500"/>
    <w:rsid w:val="00EB75BF"/>
    <w:rsid w:val="00EB77BB"/>
    <w:rsid w:val="00EB77F8"/>
    <w:rsid w:val="00EC0E4F"/>
    <w:rsid w:val="00EC0FBA"/>
    <w:rsid w:val="00EC111E"/>
    <w:rsid w:val="00EC130D"/>
    <w:rsid w:val="00EC23FA"/>
    <w:rsid w:val="00EC2A4D"/>
    <w:rsid w:val="00EC33DD"/>
    <w:rsid w:val="00EC4854"/>
    <w:rsid w:val="00EC4AD5"/>
    <w:rsid w:val="00EC5A9A"/>
    <w:rsid w:val="00EC5B65"/>
    <w:rsid w:val="00EC5E7B"/>
    <w:rsid w:val="00EC663E"/>
    <w:rsid w:val="00EC752D"/>
    <w:rsid w:val="00EC79FD"/>
    <w:rsid w:val="00EC7D48"/>
    <w:rsid w:val="00ED0571"/>
    <w:rsid w:val="00ED06D6"/>
    <w:rsid w:val="00ED0898"/>
    <w:rsid w:val="00ED09D2"/>
    <w:rsid w:val="00ED0F72"/>
    <w:rsid w:val="00ED1229"/>
    <w:rsid w:val="00ED1402"/>
    <w:rsid w:val="00ED1A2F"/>
    <w:rsid w:val="00ED20D2"/>
    <w:rsid w:val="00ED2A54"/>
    <w:rsid w:val="00ED3A41"/>
    <w:rsid w:val="00ED3B05"/>
    <w:rsid w:val="00ED4307"/>
    <w:rsid w:val="00ED5661"/>
    <w:rsid w:val="00ED5725"/>
    <w:rsid w:val="00ED57A5"/>
    <w:rsid w:val="00ED58B9"/>
    <w:rsid w:val="00ED6BAA"/>
    <w:rsid w:val="00ED7EE3"/>
    <w:rsid w:val="00EE15E1"/>
    <w:rsid w:val="00EE1619"/>
    <w:rsid w:val="00EE1D15"/>
    <w:rsid w:val="00EE1D33"/>
    <w:rsid w:val="00EE2CF7"/>
    <w:rsid w:val="00EE2D93"/>
    <w:rsid w:val="00EE2F99"/>
    <w:rsid w:val="00EE44D8"/>
    <w:rsid w:val="00EE4ECA"/>
    <w:rsid w:val="00EE51FC"/>
    <w:rsid w:val="00EE5CF0"/>
    <w:rsid w:val="00EE5F84"/>
    <w:rsid w:val="00EE6120"/>
    <w:rsid w:val="00EE757A"/>
    <w:rsid w:val="00EE77A6"/>
    <w:rsid w:val="00EF0397"/>
    <w:rsid w:val="00EF0628"/>
    <w:rsid w:val="00EF0851"/>
    <w:rsid w:val="00EF266C"/>
    <w:rsid w:val="00EF2B4D"/>
    <w:rsid w:val="00EF3833"/>
    <w:rsid w:val="00EF3CD6"/>
    <w:rsid w:val="00EF4967"/>
    <w:rsid w:val="00EF639A"/>
    <w:rsid w:val="00EF6624"/>
    <w:rsid w:val="00EF697D"/>
    <w:rsid w:val="00EF6B95"/>
    <w:rsid w:val="00EF6E06"/>
    <w:rsid w:val="00EF72CA"/>
    <w:rsid w:val="00EF76A9"/>
    <w:rsid w:val="00F00844"/>
    <w:rsid w:val="00F00CE0"/>
    <w:rsid w:val="00F016E6"/>
    <w:rsid w:val="00F0192C"/>
    <w:rsid w:val="00F01E43"/>
    <w:rsid w:val="00F01F4E"/>
    <w:rsid w:val="00F02520"/>
    <w:rsid w:val="00F02D55"/>
    <w:rsid w:val="00F0369A"/>
    <w:rsid w:val="00F04562"/>
    <w:rsid w:val="00F05209"/>
    <w:rsid w:val="00F05C9E"/>
    <w:rsid w:val="00F05DC6"/>
    <w:rsid w:val="00F05FFD"/>
    <w:rsid w:val="00F06089"/>
    <w:rsid w:val="00F065F4"/>
    <w:rsid w:val="00F07455"/>
    <w:rsid w:val="00F07699"/>
    <w:rsid w:val="00F076EA"/>
    <w:rsid w:val="00F1036F"/>
    <w:rsid w:val="00F10713"/>
    <w:rsid w:val="00F1089A"/>
    <w:rsid w:val="00F108BF"/>
    <w:rsid w:val="00F10BFF"/>
    <w:rsid w:val="00F10F8C"/>
    <w:rsid w:val="00F11536"/>
    <w:rsid w:val="00F116E0"/>
    <w:rsid w:val="00F11F56"/>
    <w:rsid w:val="00F120F7"/>
    <w:rsid w:val="00F12603"/>
    <w:rsid w:val="00F13097"/>
    <w:rsid w:val="00F133F5"/>
    <w:rsid w:val="00F1379E"/>
    <w:rsid w:val="00F13C24"/>
    <w:rsid w:val="00F13FC2"/>
    <w:rsid w:val="00F146A4"/>
    <w:rsid w:val="00F15FDF"/>
    <w:rsid w:val="00F16570"/>
    <w:rsid w:val="00F165E2"/>
    <w:rsid w:val="00F16703"/>
    <w:rsid w:val="00F16FFD"/>
    <w:rsid w:val="00F17BE1"/>
    <w:rsid w:val="00F20482"/>
    <w:rsid w:val="00F2093E"/>
    <w:rsid w:val="00F216D3"/>
    <w:rsid w:val="00F21AA9"/>
    <w:rsid w:val="00F21DCD"/>
    <w:rsid w:val="00F237BC"/>
    <w:rsid w:val="00F249C6"/>
    <w:rsid w:val="00F24B6B"/>
    <w:rsid w:val="00F2577D"/>
    <w:rsid w:val="00F257ED"/>
    <w:rsid w:val="00F25832"/>
    <w:rsid w:val="00F25C38"/>
    <w:rsid w:val="00F268C6"/>
    <w:rsid w:val="00F26A6F"/>
    <w:rsid w:val="00F2711A"/>
    <w:rsid w:val="00F2781D"/>
    <w:rsid w:val="00F27A46"/>
    <w:rsid w:val="00F30E24"/>
    <w:rsid w:val="00F313AE"/>
    <w:rsid w:val="00F316D8"/>
    <w:rsid w:val="00F32161"/>
    <w:rsid w:val="00F32215"/>
    <w:rsid w:val="00F32617"/>
    <w:rsid w:val="00F33355"/>
    <w:rsid w:val="00F3400B"/>
    <w:rsid w:val="00F346CF"/>
    <w:rsid w:val="00F349E5"/>
    <w:rsid w:val="00F34FCA"/>
    <w:rsid w:val="00F351BF"/>
    <w:rsid w:val="00F360CF"/>
    <w:rsid w:val="00F36A7D"/>
    <w:rsid w:val="00F40737"/>
    <w:rsid w:val="00F4142D"/>
    <w:rsid w:val="00F41E78"/>
    <w:rsid w:val="00F41FEF"/>
    <w:rsid w:val="00F426FC"/>
    <w:rsid w:val="00F42BB6"/>
    <w:rsid w:val="00F42C61"/>
    <w:rsid w:val="00F43E9D"/>
    <w:rsid w:val="00F44652"/>
    <w:rsid w:val="00F45259"/>
    <w:rsid w:val="00F4551D"/>
    <w:rsid w:val="00F45793"/>
    <w:rsid w:val="00F45C1F"/>
    <w:rsid w:val="00F464B2"/>
    <w:rsid w:val="00F46FF6"/>
    <w:rsid w:val="00F47374"/>
    <w:rsid w:val="00F47508"/>
    <w:rsid w:val="00F506A6"/>
    <w:rsid w:val="00F50783"/>
    <w:rsid w:val="00F50B11"/>
    <w:rsid w:val="00F5201E"/>
    <w:rsid w:val="00F5273C"/>
    <w:rsid w:val="00F5335B"/>
    <w:rsid w:val="00F544D9"/>
    <w:rsid w:val="00F55200"/>
    <w:rsid w:val="00F55693"/>
    <w:rsid w:val="00F560CB"/>
    <w:rsid w:val="00F5610C"/>
    <w:rsid w:val="00F5616E"/>
    <w:rsid w:val="00F56C83"/>
    <w:rsid w:val="00F57EDB"/>
    <w:rsid w:val="00F60375"/>
    <w:rsid w:val="00F60725"/>
    <w:rsid w:val="00F60730"/>
    <w:rsid w:val="00F60FAE"/>
    <w:rsid w:val="00F62E76"/>
    <w:rsid w:val="00F6328B"/>
    <w:rsid w:val="00F63C84"/>
    <w:rsid w:val="00F642EE"/>
    <w:rsid w:val="00F6447A"/>
    <w:rsid w:val="00F64BE7"/>
    <w:rsid w:val="00F6527C"/>
    <w:rsid w:val="00F657AD"/>
    <w:rsid w:val="00F66630"/>
    <w:rsid w:val="00F67AF8"/>
    <w:rsid w:val="00F67D02"/>
    <w:rsid w:val="00F70258"/>
    <w:rsid w:val="00F70D90"/>
    <w:rsid w:val="00F714C2"/>
    <w:rsid w:val="00F720DF"/>
    <w:rsid w:val="00F72463"/>
    <w:rsid w:val="00F729A1"/>
    <w:rsid w:val="00F72E4D"/>
    <w:rsid w:val="00F73625"/>
    <w:rsid w:val="00F736A5"/>
    <w:rsid w:val="00F75329"/>
    <w:rsid w:val="00F7594F"/>
    <w:rsid w:val="00F7678B"/>
    <w:rsid w:val="00F7695F"/>
    <w:rsid w:val="00F77444"/>
    <w:rsid w:val="00F8020F"/>
    <w:rsid w:val="00F803C7"/>
    <w:rsid w:val="00F804DD"/>
    <w:rsid w:val="00F81197"/>
    <w:rsid w:val="00F81951"/>
    <w:rsid w:val="00F81E05"/>
    <w:rsid w:val="00F82234"/>
    <w:rsid w:val="00F82BE2"/>
    <w:rsid w:val="00F83568"/>
    <w:rsid w:val="00F83B66"/>
    <w:rsid w:val="00F843CF"/>
    <w:rsid w:val="00F86B78"/>
    <w:rsid w:val="00F8744E"/>
    <w:rsid w:val="00F87798"/>
    <w:rsid w:val="00F877B5"/>
    <w:rsid w:val="00F87DDF"/>
    <w:rsid w:val="00F91EAF"/>
    <w:rsid w:val="00F924EC"/>
    <w:rsid w:val="00F92BCD"/>
    <w:rsid w:val="00F92D4D"/>
    <w:rsid w:val="00F9325C"/>
    <w:rsid w:val="00F93314"/>
    <w:rsid w:val="00F93B4E"/>
    <w:rsid w:val="00F94F68"/>
    <w:rsid w:val="00F94F7E"/>
    <w:rsid w:val="00F95693"/>
    <w:rsid w:val="00F95B4D"/>
    <w:rsid w:val="00F96E0E"/>
    <w:rsid w:val="00F97865"/>
    <w:rsid w:val="00F97A0B"/>
    <w:rsid w:val="00F97E92"/>
    <w:rsid w:val="00FA090E"/>
    <w:rsid w:val="00FA0B0C"/>
    <w:rsid w:val="00FA0BBE"/>
    <w:rsid w:val="00FA0CA5"/>
    <w:rsid w:val="00FA18BF"/>
    <w:rsid w:val="00FA2C37"/>
    <w:rsid w:val="00FA2E2D"/>
    <w:rsid w:val="00FA4738"/>
    <w:rsid w:val="00FA64CE"/>
    <w:rsid w:val="00FA6539"/>
    <w:rsid w:val="00FA6C50"/>
    <w:rsid w:val="00FA76A3"/>
    <w:rsid w:val="00FA7B2D"/>
    <w:rsid w:val="00FA7B9B"/>
    <w:rsid w:val="00FB054B"/>
    <w:rsid w:val="00FB2040"/>
    <w:rsid w:val="00FB23CF"/>
    <w:rsid w:val="00FB2804"/>
    <w:rsid w:val="00FB29F8"/>
    <w:rsid w:val="00FB2A72"/>
    <w:rsid w:val="00FB31E1"/>
    <w:rsid w:val="00FB47E3"/>
    <w:rsid w:val="00FB4BC4"/>
    <w:rsid w:val="00FB5707"/>
    <w:rsid w:val="00FB5C8E"/>
    <w:rsid w:val="00FB6868"/>
    <w:rsid w:val="00FB6D40"/>
    <w:rsid w:val="00FB71AD"/>
    <w:rsid w:val="00FB7520"/>
    <w:rsid w:val="00FB78F1"/>
    <w:rsid w:val="00FB7CBA"/>
    <w:rsid w:val="00FC1251"/>
    <w:rsid w:val="00FC125C"/>
    <w:rsid w:val="00FC17C7"/>
    <w:rsid w:val="00FC2A1C"/>
    <w:rsid w:val="00FC2DB1"/>
    <w:rsid w:val="00FC2EF6"/>
    <w:rsid w:val="00FC3484"/>
    <w:rsid w:val="00FC436D"/>
    <w:rsid w:val="00FC464F"/>
    <w:rsid w:val="00FC46C1"/>
    <w:rsid w:val="00FC4745"/>
    <w:rsid w:val="00FC51FA"/>
    <w:rsid w:val="00FC5311"/>
    <w:rsid w:val="00FC5927"/>
    <w:rsid w:val="00FC59D3"/>
    <w:rsid w:val="00FC63A4"/>
    <w:rsid w:val="00FC6A47"/>
    <w:rsid w:val="00FC79AE"/>
    <w:rsid w:val="00FD05B5"/>
    <w:rsid w:val="00FD0C65"/>
    <w:rsid w:val="00FD1E69"/>
    <w:rsid w:val="00FD278E"/>
    <w:rsid w:val="00FD284C"/>
    <w:rsid w:val="00FD2A3F"/>
    <w:rsid w:val="00FD2E52"/>
    <w:rsid w:val="00FD30FA"/>
    <w:rsid w:val="00FD495A"/>
    <w:rsid w:val="00FD5260"/>
    <w:rsid w:val="00FD55F1"/>
    <w:rsid w:val="00FD6735"/>
    <w:rsid w:val="00FD7C80"/>
    <w:rsid w:val="00FD7F68"/>
    <w:rsid w:val="00FD7FF1"/>
    <w:rsid w:val="00FE01D8"/>
    <w:rsid w:val="00FE0402"/>
    <w:rsid w:val="00FE1757"/>
    <w:rsid w:val="00FE1D09"/>
    <w:rsid w:val="00FE2CF5"/>
    <w:rsid w:val="00FE4A64"/>
    <w:rsid w:val="00FE4CE7"/>
    <w:rsid w:val="00FE53F5"/>
    <w:rsid w:val="00FE58B7"/>
    <w:rsid w:val="00FE5B96"/>
    <w:rsid w:val="00FE6AA1"/>
    <w:rsid w:val="00FE6CA0"/>
    <w:rsid w:val="00FE6CA1"/>
    <w:rsid w:val="00FE6E17"/>
    <w:rsid w:val="00FE779F"/>
    <w:rsid w:val="00FF0087"/>
    <w:rsid w:val="00FF021D"/>
    <w:rsid w:val="00FF0791"/>
    <w:rsid w:val="00FF0847"/>
    <w:rsid w:val="00FF1410"/>
    <w:rsid w:val="00FF21E8"/>
    <w:rsid w:val="00FF28A9"/>
    <w:rsid w:val="00FF2B7E"/>
    <w:rsid w:val="00FF3146"/>
    <w:rsid w:val="00FF3793"/>
    <w:rsid w:val="00FF3CF3"/>
    <w:rsid w:val="00FF3F8A"/>
    <w:rsid w:val="00FF4C9B"/>
    <w:rsid w:val="00FF596D"/>
    <w:rsid w:val="00FF60B5"/>
    <w:rsid w:val="00FF63D1"/>
    <w:rsid w:val="00FF74CE"/>
    <w:rsid w:val="00FF78DD"/>
    <w:rsid w:val="00FF79CF"/>
    <w:rsid w:val="066EE74A"/>
    <w:rsid w:val="097D5137"/>
    <w:rsid w:val="13A07540"/>
    <w:rsid w:val="19535F77"/>
    <w:rsid w:val="1985EC72"/>
    <w:rsid w:val="1C65D036"/>
    <w:rsid w:val="212F04C4"/>
    <w:rsid w:val="28AA4E31"/>
    <w:rsid w:val="2CD783AB"/>
    <w:rsid w:val="431C2594"/>
    <w:rsid w:val="4A8D3B74"/>
    <w:rsid w:val="4D3747BB"/>
    <w:rsid w:val="4FAB3E69"/>
    <w:rsid w:val="51EF4A6A"/>
    <w:rsid w:val="53C99DA9"/>
    <w:rsid w:val="5BCA4B9B"/>
    <w:rsid w:val="666877B4"/>
    <w:rsid w:val="66AD8488"/>
    <w:rsid w:val="687A9EB1"/>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0B38B9"/>
  <w15:docId w15:val="{E39DD68C-92EF-49B6-8F68-7D6B64D43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2" w:qFormat="1"/>
    <w:lsdException w:name="heading 3" w:uiPriority="9" w:qFormat="1"/>
    <w:lsdException w:name="heading 4" w:uiPriority="9" w:qFormat="1"/>
    <w:lsdException w:name="heading 5" w:semiHidden="1" w:unhideWhenUsed="1" w:qFormat="1"/>
    <w:lsdException w:name="heading 6" w:semiHidden="1" w:unhideWhenUsed="1"/>
    <w:lsdException w:name="heading 7" w:semiHidden="1" w:unhideWhenUsed="1" w:qFormat="1"/>
    <w:lsdException w:name="heading 8" w:semiHidden="1" w:unhideWhenUsed="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Bullet" w:semiHidden="1" w:unhideWhenUsed="1" w:qFormat="1"/>
    <w:lsdException w:name="List Number" w:semiHidden="1" w:uiPriority="99" w:unhideWhenUsed="1"/>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semiHidden="1" w:uiPriority="99" w:unhideWhenUsed="1"/>
    <w:lsdException w:name="Title" w:uiPriority="99"/>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locked="1"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99"/>
    <w:lsdException w:name="Bibliography" w:semiHidden="1" w:uiPriority="99"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next w:val="Caption"/>
    <w:uiPriority w:val="99"/>
    <w:qFormat/>
    <w:rsid w:val="003E5C23"/>
    <w:pPr>
      <w:spacing w:before="180" w:after="60"/>
    </w:pPr>
    <w:rPr>
      <w:rFonts w:ascii="Century Gothic" w:hAnsi="Century Gothic"/>
      <w:color w:val="000000" w:themeColor="text1"/>
      <w:sz w:val="22"/>
      <w:szCs w:val="22"/>
      <w:lang w:eastAsia="en-GB"/>
    </w:rPr>
  </w:style>
  <w:style w:type="paragraph" w:styleId="Heading1">
    <w:name w:val="heading 1"/>
    <w:aliases w:val="CS IBM-Heading 1"/>
    <w:basedOn w:val="Normal"/>
    <w:next w:val="CS-IBMResponseText"/>
    <w:autoRedefine/>
    <w:uiPriority w:val="99"/>
    <w:rsid w:val="00167D98"/>
    <w:pPr>
      <w:keepNext/>
      <w:pageBreakBefore/>
      <w:numPr>
        <w:numId w:val="21"/>
      </w:numPr>
      <w:tabs>
        <w:tab w:val="left" w:pos="0"/>
        <w:tab w:val="left" w:pos="720"/>
      </w:tabs>
      <w:spacing w:before="0" w:after="240"/>
      <w:outlineLvl w:val="0"/>
    </w:pPr>
    <w:rPr>
      <w:rFonts w:cs="Arial"/>
      <w:b/>
      <w:color w:val="0070C0"/>
      <w:sz w:val="44"/>
      <w:szCs w:val="48"/>
    </w:rPr>
  </w:style>
  <w:style w:type="paragraph" w:styleId="Heading2">
    <w:name w:val="heading 2"/>
    <w:aliases w:val="CS IBM-Heading 2"/>
    <w:basedOn w:val="Normal"/>
    <w:next w:val="CS-IBMResponseText"/>
    <w:uiPriority w:val="99"/>
    <w:qFormat/>
    <w:rsid w:val="003E58D5"/>
    <w:pPr>
      <w:keepNext/>
      <w:numPr>
        <w:ilvl w:val="1"/>
        <w:numId w:val="21"/>
      </w:numPr>
      <w:tabs>
        <w:tab w:val="left" w:pos="0"/>
        <w:tab w:val="left" w:pos="720"/>
      </w:tabs>
      <w:spacing w:before="300" w:after="120"/>
      <w:jc w:val="both"/>
      <w:outlineLvl w:val="1"/>
    </w:pPr>
    <w:rPr>
      <w:rFonts w:cs="Arial"/>
      <w:color w:val="008BFF"/>
      <w:sz w:val="36"/>
      <w:szCs w:val="40"/>
    </w:rPr>
  </w:style>
  <w:style w:type="paragraph" w:styleId="Heading3">
    <w:name w:val="heading 3"/>
    <w:aliases w:val="CS IBM-Heading 3"/>
    <w:basedOn w:val="Normal"/>
    <w:next w:val="CS-IBMResponseText"/>
    <w:link w:val="Heading3Char"/>
    <w:uiPriority w:val="9"/>
    <w:qFormat/>
    <w:rsid w:val="003E58D5"/>
    <w:pPr>
      <w:keepNext/>
      <w:numPr>
        <w:ilvl w:val="2"/>
        <w:numId w:val="21"/>
      </w:numPr>
      <w:tabs>
        <w:tab w:val="left" w:pos="0"/>
      </w:tabs>
      <w:spacing w:before="240" w:after="120"/>
      <w:outlineLvl w:val="2"/>
    </w:pPr>
    <w:rPr>
      <w:rFonts w:cs="Arial"/>
      <w:color w:val="106288"/>
      <w:sz w:val="32"/>
      <w:szCs w:val="36"/>
    </w:rPr>
  </w:style>
  <w:style w:type="paragraph" w:styleId="Heading4">
    <w:name w:val="heading 4"/>
    <w:aliases w:val="CS IBM-Heading 4"/>
    <w:basedOn w:val="Normal"/>
    <w:next w:val="CS-IBMResponseText"/>
    <w:link w:val="Heading4Char"/>
    <w:uiPriority w:val="9"/>
    <w:qFormat/>
    <w:rsid w:val="003E58D5"/>
    <w:pPr>
      <w:keepNext/>
      <w:numPr>
        <w:ilvl w:val="3"/>
        <w:numId w:val="21"/>
      </w:numPr>
      <w:tabs>
        <w:tab w:val="left" w:pos="0"/>
        <w:tab w:val="left" w:pos="720"/>
      </w:tabs>
      <w:spacing w:before="300" w:after="120"/>
      <w:jc w:val="both"/>
      <w:outlineLvl w:val="3"/>
    </w:pPr>
    <w:rPr>
      <w:rFonts w:cs="Arial"/>
      <w:i/>
      <w:color w:val="348180"/>
      <w:sz w:val="32"/>
      <w:szCs w:val="32"/>
    </w:rPr>
  </w:style>
  <w:style w:type="paragraph" w:styleId="Heading5">
    <w:name w:val="heading 5"/>
    <w:basedOn w:val="Normal"/>
    <w:next w:val="Normal"/>
    <w:uiPriority w:val="99"/>
    <w:qFormat/>
    <w:rsid w:val="00A56FE9"/>
    <w:pPr>
      <w:numPr>
        <w:ilvl w:val="4"/>
        <w:numId w:val="21"/>
      </w:numPr>
      <w:spacing w:before="300" w:after="120"/>
      <w:jc w:val="both"/>
      <w:outlineLvl w:val="4"/>
    </w:pPr>
    <w:rPr>
      <w:rFonts w:ascii="IBM Plex Sans" w:hAnsi="IBM Plex Sans" w:cs="Arial"/>
      <w:b/>
      <w:color w:val="808080" w:themeColor="background1" w:themeShade="80"/>
      <w:szCs w:val="28"/>
    </w:rPr>
  </w:style>
  <w:style w:type="paragraph" w:styleId="Heading6">
    <w:name w:val="heading 6"/>
    <w:basedOn w:val="Heading5"/>
    <w:next w:val="Normal"/>
    <w:uiPriority w:val="99"/>
    <w:rsid w:val="009335A2"/>
    <w:pPr>
      <w:numPr>
        <w:ilvl w:val="5"/>
      </w:numPr>
      <w:outlineLvl w:val="5"/>
    </w:pPr>
    <w:rPr>
      <w:bCs/>
      <w:i/>
      <w:color w:val="2A0A18"/>
      <w:szCs w:val="26"/>
    </w:rPr>
  </w:style>
  <w:style w:type="paragraph" w:styleId="Heading7">
    <w:name w:val="heading 7"/>
    <w:basedOn w:val="Heading6"/>
    <w:next w:val="Normal"/>
    <w:uiPriority w:val="99"/>
    <w:qFormat/>
    <w:rsid w:val="009335A2"/>
    <w:pPr>
      <w:numPr>
        <w:ilvl w:val="6"/>
      </w:numPr>
      <w:outlineLvl w:val="6"/>
    </w:pPr>
    <w:rPr>
      <w:bCs w:val="0"/>
      <w:i w:val="0"/>
      <w:color w:val="565151"/>
      <w:szCs w:val="24"/>
      <w:u w:val="single"/>
    </w:rPr>
  </w:style>
  <w:style w:type="paragraph" w:styleId="Heading8">
    <w:name w:val="heading 8"/>
    <w:basedOn w:val="Heading7"/>
    <w:next w:val="Normal"/>
    <w:uiPriority w:val="99"/>
    <w:rsid w:val="001A372E"/>
    <w:pPr>
      <w:numPr>
        <w:ilvl w:val="7"/>
      </w:numPr>
      <w:outlineLvl w:val="7"/>
    </w:pPr>
    <w:rPr>
      <w:i/>
      <w:u w:val="none"/>
    </w:rPr>
  </w:style>
  <w:style w:type="paragraph" w:styleId="Heading9">
    <w:name w:val="heading 9"/>
    <w:basedOn w:val="Heading8"/>
    <w:next w:val="Normal"/>
    <w:uiPriority w:val="99"/>
    <w:rsid w:val="001A372E"/>
    <w:pPr>
      <w:numPr>
        <w:ilvl w:val="8"/>
      </w:numPr>
      <w:outlineLvl w:val="8"/>
    </w:pPr>
    <w:rPr>
      <w:i w:val="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styleId="111111">
    <w:name w:val="Outline List 2"/>
    <w:basedOn w:val="NoList"/>
    <w:semiHidden/>
    <w:rsid w:val="002C48F8"/>
    <w:pPr>
      <w:numPr>
        <w:numId w:val="1"/>
      </w:numPr>
    </w:pPr>
  </w:style>
  <w:style w:type="paragraph" w:customStyle="1" w:styleId="CS-IBMTemplateStyleGuidedonotuseforresponse">
    <w:name w:val="CS-IBM Template Style Guide (do not use for response)"/>
    <w:basedOn w:val="CS-IBMResponseText"/>
    <w:qFormat/>
    <w:rsid w:val="00464519"/>
    <w:rPr>
      <w:b/>
      <w:bCs/>
      <w:i/>
      <w:color w:val="FF0000"/>
      <w:sz w:val="20"/>
    </w:rPr>
  </w:style>
  <w:style w:type="numbering" w:styleId="1ai">
    <w:name w:val="Outline List 1"/>
    <w:basedOn w:val="NoList"/>
    <w:semiHidden/>
    <w:rsid w:val="002C48F8"/>
    <w:pPr>
      <w:numPr>
        <w:numId w:val="2"/>
      </w:numPr>
    </w:pPr>
  </w:style>
  <w:style w:type="numbering" w:styleId="ArticleSection">
    <w:name w:val="Outline List 3"/>
    <w:basedOn w:val="NoList"/>
    <w:semiHidden/>
    <w:rsid w:val="002C48F8"/>
    <w:pPr>
      <w:numPr>
        <w:numId w:val="3"/>
      </w:numPr>
    </w:pPr>
  </w:style>
  <w:style w:type="paragraph" w:styleId="BlockText">
    <w:name w:val="Block Text"/>
    <w:basedOn w:val="Normal"/>
    <w:uiPriority w:val="99"/>
    <w:semiHidden/>
    <w:rsid w:val="00D60081"/>
    <w:pPr>
      <w:ind w:left="1440" w:right="1440"/>
    </w:pPr>
  </w:style>
  <w:style w:type="paragraph" w:styleId="BodyText2">
    <w:name w:val="Body Text 2"/>
    <w:basedOn w:val="Normal"/>
    <w:uiPriority w:val="99"/>
    <w:semiHidden/>
    <w:rsid w:val="00D60081"/>
    <w:pPr>
      <w:spacing w:line="480" w:lineRule="auto"/>
    </w:pPr>
  </w:style>
  <w:style w:type="paragraph" w:styleId="BodyText3">
    <w:name w:val="Body Text 3"/>
    <w:basedOn w:val="Normal"/>
    <w:uiPriority w:val="99"/>
    <w:semiHidden/>
    <w:rsid w:val="00D60081"/>
    <w:rPr>
      <w:sz w:val="16"/>
      <w:szCs w:val="16"/>
    </w:rPr>
  </w:style>
  <w:style w:type="paragraph" w:styleId="BodyTextFirstIndent">
    <w:name w:val="Body Text First Indent"/>
    <w:basedOn w:val="Normal"/>
    <w:uiPriority w:val="99"/>
    <w:semiHidden/>
    <w:rsid w:val="00A56FE9"/>
    <w:pPr>
      <w:spacing w:before="120" w:after="120"/>
      <w:ind w:firstLine="210"/>
      <w:jc w:val="both"/>
    </w:pPr>
    <w:rPr>
      <w:rFonts w:ascii="IBM Plex Sans" w:hAnsi="IBM Plex Sans" w:cs="Arial"/>
      <w:szCs w:val="21"/>
    </w:rPr>
  </w:style>
  <w:style w:type="paragraph" w:styleId="BodyTextFirstIndent2">
    <w:name w:val="Body Text First Indent 2"/>
    <w:basedOn w:val="Normal"/>
    <w:uiPriority w:val="99"/>
    <w:semiHidden/>
    <w:rsid w:val="00FE53F5"/>
    <w:pPr>
      <w:ind w:firstLine="210"/>
    </w:pPr>
  </w:style>
  <w:style w:type="paragraph" w:styleId="BodyTextIndent2">
    <w:name w:val="Body Text Indent 2"/>
    <w:basedOn w:val="Normal"/>
    <w:uiPriority w:val="99"/>
    <w:semiHidden/>
    <w:unhideWhenUsed/>
    <w:rsid w:val="00D60081"/>
    <w:pPr>
      <w:spacing w:line="480" w:lineRule="auto"/>
      <w:ind w:left="283"/>
    </w:pPr>
  </w:style>
  <w:style w:type="paragraph" w:styleId="BodyTextIndent3">
    <w:name w:val="Body Text Indent 3"/>
    <w:basedOn w:val="Normal"/>
    <w:uiPriority w:val="99"/>
    <w:semiHidden/>
    <w:unhideWhenUsed/>
    <w:rsid w:val="00D60081"/>
    <w:pPr>
      <w:ind w:left="283"/>
    </w:pPr>
    <w:rPr>
      <w:sz w:val="16"/>
      <w:szCs w:val="16"/>
    </w:rPr>
  </w:style>
  <w:style w:type="paragraph" w:styleId="Closing">
    <w:name w:val="Closing"/>
    <w:basedOn w:val="Normal"/>
    <w:uiPriority w:val="99"/>
    <w:semiHidden/>
    <w:rsid w:val="00D60081"/>
    <w:pPr>
      <w:ind w:left="4252"/>
    </w:pPr>
  </w:style>
  <w:style w:type="paragraph" w:styleId="Date">
    <w:name w:val="Date"/>
    <w:basedOn w:val="Normal"/>
    <w:next w:val="Normal"/>
    <w:uiPriority w:val="99"/>
    <w:semiHidden/>
    <w:rsid w:val="00D60081"/>
  </w:style>
  <w:style w:type="paragraph" w:styleId="E-mailSignature">
    <w:name w:val="E-mail Signature"/>
    <w:basedOn w:val="Normal"/>
    <w:uiPriority w:val="99"/>
    <w:semiHidden/>
    <w:rsid w:val="00D60081"/>
  </w:style>
  <w:style w:type="paragraph" w:customStyle="1" w:styleId="CS-IBMTableColumnHeader">
    <w:name w:val="CS-IBM Table Column Header"/>
    <w:basedOn w:val="CS-IBMResponseText"/>
    <w:qFormat/>
    <w:rsid w:val="00464519"/>
    <w:pPr>
      <w:spacing w:before="60" w:after="60"/>
      <w:jc w:val="center"/>
    </w:pPr>
    <w:rPr>
      <w:b/>
      <w:color w:val="FFFFFF" w:themeColor="background1"/>
      <w:szCs w:val="18"/>
    </w:rPr>
  </w:style>
  <w:style w:type="paragraph" w:styleId="EnvelopeAddress">
    <w:name w:val="envelope address"/>
    <w:basedOn w:val="Normal"/>
    <w:uiPriority w:val="99"/>
    <w:semiHidden/>
    <w:rsid w:val="00D60081"/>
    <w:pPr>
      <w:framePr w:w="7920" w:h="1980" w:hRule="exact" w:hSpace="180" w:wrap="auto" w:hAnchor="page" w:xAlign="center" w:yAlign="bottom"/>
      <w:ind w:left="2880"/>
    </w:pPr>
    <w:rPr>
      <w:rFonts w:cs="Arial"/>
      <w:sz w:val="24"/>
      <w:szCs w:val="24"/>
    </w:rPr>
  </w:style>
  <w:style w:type="paragraph" w:styleId="EnvelopeReturn">
    <w:name w:val="envelope return"/>
    <w:basedOn w:val="Normal"/>
    <w:uiPriority w:val="99"/>
    <w:semiHidden/>
    <w:rsid w:val="00D60081"/>
    <w:rPr>
      <w:rFonts w:cs="Arial"/>
      <w:sz w:val="20"/>
      <w:szCs w:val="20"/>
    </w:rPr>
  </w:style>
  <w:style w:type="character" w:styleId="FollowedHyperlink">
    <w:name w:val="FollowedHyperlink"/>
    <w:uiPriority w:val="99"/>
    <w:semiHidden/>
    <w:rsid w:val="00D60081"/>
    <w:rPr>
      <w:color w:val="800080"/>
      <w:u w:val="single"/>
    </w:rPr>
  </w:style>
  <w:style w:type="paragraph" w:styleId="Footer">
    <w:name w:val="footer"/>
    <w:basedOn w:val="CS-IBMHeader"/>
    <w:next w:val="Closing"/>
    <w:link w:val="FooterChar"/>
    <w:uiPriority w:val="99"/>
    <w:rsid w:val="00D57F1D"/>
    <w:pPr>
      <w:pBdr>
        <w:top w:val="single" w:sz="4" w:space="5" w:color="auto"/>
        <w:bottom w:val="none" w:sz="0" w:space="0" w:color="auto"/>
      </w:pBdr>
      <w:tabs>
        <w:tab w:val="center" w:pos="4680"/>
        <w:tab w:val="right" w:pos="9360"/>
      </w:tabs>
      <w:spacing w:before="120"/>
      <w:jc w:val="both"/>
    </w:pPr>
    <w:rPr>
      <w:szCs w:val="21"/>
    </w:rPr>
  </w:style>
  <w:style w:type="paragraph" w:styleId="Header">
    <w:name w:val="header"/>
    <w:basedOn w:val="Normal"/>
    <w:uiPriority w:val="99"/>
    <w:rsid w:val="00A56FE9"/>
    <w:pPr>
      <w:pBdr>
        <w:bottom w:val="single" w:sz="4" w:space="2" w:color="auto"/>
      </w:pBdr>
      <w:tabs>
        <w:tab w:val="right" w:pos="9360"/>
      </w:tabs>
      <w:spacing w:before="120" w:after="0"/>
      <w:jc w:val="both"/>
    </w:pPr>
    <w:rPr>
      <w:rFonts w:ascii="IBM Plex Sans" w:hAnsi="IBM Plex Sans" w:cs="Arial"/>
      <w:szCs w:val="21"/>
    </w:rPr>
  </w:style>
  <w:style w:type="character" w:styleId="HTMLAcronym">
    <w:name w:val="HTML Acronym"/>
    <w:basedOn w:val="DefaultParagraphFont"/>
    <w:uiPriority w:val="99"/>
    <w:semiHidden/>
    <w:rsid w:val="00D60081"/>
  </w:style>
  <w:style w:type="paragraph" w:styleId="HTMLAddress">
    <w:name w:val="HTML Address"/>
    <w:basedOn w:val="Normal"/>
    <w:uiPriority w:val="99"/>
    <w:semiHidden/>
    <w:rsid w:val="00D60081"/>
    <w:rPr>
      <w:i/>
      <w:iCs/>
    </w:rPr>
  </w:style>
  <w:style w:type="character" w:styleId="HTMLCite">
    <w:name w:val="HTML Cite"/>
    <w:uiPriority w:val="99"/>
    <w:semiHidden/>
    <w:rsid w:val="00D60081"/>
    <w:rPr>
      <w:i/>
      <w:iCs/>
    </w:rPr>
  </w:style>
  <w:style w:type="character" w:styleId="HTMLCode">
    <w:name w:val="HTML Code"/>
    <w:uiPriority w:val="99"/>
    <w:semiHidden/>
    <w:rsid w:val="00D60081"/>
    <w:rPr>
      <w:rFonts w:ascii="Courier New" w:hAnsi="Courier New" w:cs="Courier New"/>
      <w:sz w:val="20"/>
      <w:szCs w:val="20"/>
    </w:rPr>
  </w:style>
  <w:style w:type="character" w:styleId="HTMLDefinition">
    <w:name w:val="HTML Definition"/>
    <w:uiPriority w:val="99"/>
    <w:semiHidden/>
    <w:rsid w:val="00D60081"/>
    <w:rPr>
      <w:i/>
      <w:iCs/>
    </w:rPr>
  </w:style>
  <w:style w:type="character" w:styleId="HTMLKeyboard">
    <w:name w:val="HTML Keyboard"/>
    <w:uiPriority w:val="99"/>
    <w:semiHidden/>
    <w:rsid w:val="00D60081"/>
    <w:rPr>
      <w:rFonts w:ascii="Courier New" w:hAnsi="Courier New" w:cs="Courier New"/>
      <w:sz w:val="20"/>
      <w:szCs w:val="20"/>
    </w:rPr>
  </w:style>
  <w:style w:type="paragraph" w:styleId="HTMLPreformatted">
    <w:name w:val="HTML Preformatted"/>
    <w:basedOn w:val="Normal"/>
    <w:uiPriority w:val="99"/>
    <w:semiHidden/>
    <w:rsid w:val="00D60081"/>
    <w:rPr>
      <w:rFonts w:ascii="Courier New" w:hAnsi="Courier New" w:cs="Courier New"/>
      <w:sz w:val="20"/>
      <w:szCs w:val="20"/>
    </w:rPr>
  </w:style>
  <w:style w:type="character" w:styleId="HTMLSample">
    <w:name w:val="HTML Sample"/>
    <w:uiPriority w:val="99"/>
    <w:semiHidden/>
    <w:rsid w:val="00D60081"/>
    <w:rPr>
      <w:rFonts w:ascii="Courier New" w:hAnsi="Courier New" w:cs="Courier New"/>
    </w:rPr>
  </w:style>
  <w:style w:type="character" w:styleId="HTMLTypewriter">
    <w:name w:val="HTML Typewriter"/>
    <w:uiPriority w:val="99"/>
    <w:semiHidden/>
    <w:rsid w:val="00D60081"/>
    <w:rPr>
      <w:rFonts w:ascii="Courier New" w:hAnsi="Courier New" w:cs="Courier New"/>
      <w:sz w:val="20"/>
      <w:szCs w:val="20"/>
    </w:rPr>
  </w:style>
  <w:style w:type="character" w:styleId="HTMLVariable">
    <w:name w:val="HTML Variable"/>
    <w:uiPriority w:val="99"/>
    <w:semiHidden/>
    <w:rsid w:val="00D60081"/>
    <w:rPr>
      <w:i/>
      <w:iCs/>
    </w:rPr>
  </w:style>
  <w:style w:type="character" w:styleId="Hyperlink">
    <w:name w:val="Hyperlink"/>
    <w:uiPriority w:val="99"/>
    <w:rsid w:val="001C6D47"/>
    <w:rPr>
      <w:rFonts w:ascii="Century Gothic" w:hAnsi="Century Gothic"/>
      <w:color w:val="000000" w:themeColor="text1"/>
      <w:sz w:val="22"/>
      <w:u w:val="none"/>
    </w:rPr>
  </w:style>
  <w:style w:type="character" w:styleId="LineNumber">
    <w:name w:val="line number"/>
    <w:basedOn w:val="DefaultParagraphFont"/>
    <w:uiPriority w:val="99"/>
    <w:semiHidden/>
    <w:rsid w:val="00D60081"/>
  </w:style>
  <w:style w:type="paragraph" w:styleId="List4">
    <w:name w:val="List 4"/>
    <w:basedOn w:val="Normal"/>
    <w:uiPriority w:val="99"/>
    <w:semiHidden/>
    <w:rsid w:val="00D60081"/>
    <w:pPr>
      <w:ind w:left="1132" w:hanging="283"/>
    </w:pPr>
  </w:style>
  <w:style w:type="paragraph" w:styleId="List5">
    <w:name w:val="List 5"/>
    <w:basedOn w:val="Normal"/>
    <w:uiPriority w:val="99"/>
    <w:semiHidden/>
    <w:rsid w:val="00D60081"/>
    <w:pPr>
      <w:ind w:left="1415" w:hanging="283"/>
    </w:pPr>
  </w:style>
  <w:style w:type="paragraph" w:styleId="ListContinue">
    <w:name w:val="List Continue"/>
    <w:basedOn w:val="Normal"/>
    <w:uiPriority w:val="99"/>
    <w:semiHidden/>
    <w:rsid w:val="00D60081"/>
    <w:pPr>
      <w:ind w:left="283"/>
    </w:pPr>
  </w:style>
  <w:style w:type="paragraph" w:styleId="ListContinue2">
    <w:name w:val="List Continue 2"/>
    <w:basedOn w:val="Normal"/>
    <w:uiPriority w:val="99"/>
    <w:semiHidden/>
    <w:rsid w:val="00D60081"/>
    <w:pPr>
      <w:ind w:left="566"/>
    </w:pPr>
  </w:style>
  <w:style w:type="paragraph" w:styleId="ListContinue3">
    <w:name w:val="List Continue 3"/>
    <w:basedOn w:val="Normal"/>
    <w:uiPriority w:val="99"/>
    <w:semiHidden/>
    <w:rsid w:val="00D60081"/>
    <w:pPr>
      <w:ind w:left="849"/>
    </w:pPr>
  </w:style>
  <w:style w:type="paragraph" w:styleId="ListContinue4">
    <w:name w:val="List Continue 4"/>
    <w:basedOn w:val="Normal"/>
    <w:uiPriority w:val="99"/>
    <w:semiHidden/>
    <w:rsid w:val="00D60081"/>
    <w:pPr>
      <w:ind w:left="1132"/>
    </w:pPr>
  </w:style>
  <w:style w:type="paragraph" w:styleId="ListContinue5">
    <w:name w:val="List Continue 5"/>
    <w:basedOn w:val="Normal"/>
    <w:uiPriority w:val="99"/>
    <w:semiHidden/>
    <w:rsid w:val="00D60081"/>
    <w:pPr>
      <w:ind w:left="1415"/>
    </w:pPr>
  </w:style>
  <w:style w:type="paragraph" w:styleId="MessageHeader">
    <w:name w:val="Message Header"/>
    <w:basedOn w:val="Normal"/>
    <w:uiPriority w:val="99"/>
    <w:semiHidden/>
    <w:rsid w:val="00D60081"/>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NormalWeb">
    <w:name w:val="Normal (Web)"/>
    <w:basedOn w:val="Normal"/>
    <w:uiPriority w:val="99"/>
    <w:rsid w:val="00D60081"/>
    <w:rPr>
      <w:rFonts w:ascii="Times New Roman" w:hAnsi="Times New Roman"/>
      <w:sz w:val="24"/>
      <w:szCs w:val="24"/>
    </w:rPr>
  </w:style>
  <w:style w:type="paragraph" w:styleId="NormalIndent">
    <w:name w:val="Normal Indent"/>
    <w:basedOn w:val="Normal"/>
    <w:uiPriority w:val="99"/>
    <w:semiHidden/>
    <w:rsid w:val="00D60081"/>
    <w:pPr>
      <w:ind w:left="720"/>
    </w:pPr>
  </w:style>
  <w:style w:type="paragraph" w:styleId="NoteHeading">
    <w:name w:val="Note Heading"/>
    <w:basedOn w:val="Normal"/>
    <w:next w:val="Normal"/>
    <w:uiPriority w:val="99"/>
    <w:semiHidden/>
    <w:rsid w:val="00D60081"/>
  </w:style>
  <w:style w:type="character" w:styleId="PageNumber">
    <w:name w:val="page number"/>
    <w:basedOn w:val="DefaultParagraphFont"/>
    <w:uiPriority w:val="99"/>
    <w:semiHidden/>
    <w:rsid w:val="00D60081"/>
  </w:style>
  <w:style w:type="paragraph" w:styleId="PlainText">
    <w:name w:val="Plain Text"/>
    <w:basedOn w:val="Normal"/>
    <w:uiPriority w:val="99"/>
    <w:semiHidden/>
    <w:rsid w:val="00D60081"/>
    <w:rPr>
      <w:rFonts w:ascii="Courier New" w:hAnsi="Courier New" w:cs="Courier New"/>
      <w:sz w:val="20"/>
      <w:szCs w:val="20"/>
    </w:rPr>
  </w:style>
  <w:style w:type="paragraph" w:styleId="Salutation">
    <w:name w:val="Salutation"/>
    <w:basedOn w:val="Normal"/>
    <w:next w:val="Normal"/>
    <w:uiPriority w:val="99"/>
    <w:semiHidden/>
    <w:rsid w:val="00D60081"/>
  </w:style>
  <w:style w:type="paragraph" w:styleId="Signature">
    <w:name w:val="Signature"/>
    <w:basedOn w:val="Normal"/>
    <w:uiPriority w:val="99"/>
    <w:semiHidden/>
    <w:rsid w:val="00D60081"/>
    <w:pPr>
      <w:ind w:left="4252"/>
    </w:pPr>
  </w:style>
  <w:style w:type="table" w:customStyle="1" w:styleId="TableGridLight1">
    <w:name w:val="Table Grid Light1"/>
    <w:basedOn w:val="TableNormal"/>
    <w:uiPriority w:val="40"/>
    <w:rsid w:val="00D16EAC"/>
    <w:tblPr>
      <w:tblInd w:w="0" w:type="nil"/>
      <w:tblCellMar>
        <w:left w:w="0" w:type="dxa"/>
        <w:right w:w="0" w:type="dxa"/>
      </w:tblCellMar>
    </w:tblPr>
  </w:style>
  <w:style w:type="table" w:styleId="Table3Deffects1">
    <w:name w:val="Table 3D effects 1"/>
    <w:basedOn w:val="TableNormal"/>
    <w:semiHidden/>
    <w:rsid w:val="00D60081"/>
    <w:pPr>
      <w:spacing w:before="240" w:after="60"/>
    </w:pPr>
    <w:tblPr>
      <w:tblInd w:w="0" w:type="nil"/>
      <w:tblCellMar>
        <w:left w:w="0" w:type="dxa"/>
        <w:right w:w="0"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D60081"/>
    <w:pPr>
      <w:spacing w:before="240" w:after="60"/>
    </w:pPr>
    <w:tblPr>
      <w:tblStyleRowBandSize w:val="1"/>
      <w:tblInd w:w="0" w:type="nil"/>
      <w:tblCellMar>
        <w:left w:w="0" w:type="dxa"/>
        <w:right w:w="0" w:type="dxa"/>
      </w:tblCellMar>
    </w:tblPr>
    <w:tcPr>
      <w:tcBorders>
        <w:top w:val="single" w:sz="6" w:space="0" w:color="808080"/>
        <w:bottom w:val="single" w:sz="6" w:space="0" w:color="808080"/>
        <w:right w:val="single" w:sz="6" w:space="0" w:color="808080"/>
        <w:insideV w:val="celticKnotwork" w:sz="58" w:space="0" w:color="auto" w:frame="1"/>
        <w:tr2bl w:val="celticKnotwork" w:sz="58" w:space="0" w:color="auto" w:frame="1"/>
      </w:tcBorders>
      <w:shd w:val="solid" w:color="C0C0C0" w:fill="FFFFFF"/>
    </w:tcPr>
    <w:tblStylePr w:type="firstRow">
      <w:rPr>
        <w:b/>
        <w:bCs/>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b/>
        <w:bCs/>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rsid w:val="00D60081"/>
    <w:pPr>
      <w:spacing w:before="240" w:after="60"/>
    </w:pPr>
    <w:tblPr>
      <w:tblStyleRowBandSize w:val="1"/>
      <w:tblStyleColBandSize w:val="1"/>
      <w:tblInd w:w="0" w:type="nil"/>
      <w:tblCellMar>
        <w:left w:w="0" w:type="dxa"/>
        <w:right w:w="0" w:type="dxa"/>
      </w:tblCellMar>
    </w:tblPr>
    <w:tcPr>
      <w:tcBorders>
        <w:top w:val="single" w:sz="6" w:space="0" w:color="808080"/>
        <w:bottom w:val="single" w:sz="6" w:space="0" w:color="FFFFFF"/>
        <w:right w:val="single" w:sz="6" w:space="0" w:color="808080"/>
        <w:insideV w:val="none" w:sz="64" w:space="10" w:color="00003A" w:shadow="1" w:frame="1"/>
        <w:tr2bl w:val="none" w:sz="64" w:space="10" w:color="00003A" w:shadow="1" w:frame="1"/>
      </w:tcBorders>
      <w:shd w:val="solid" w:color="C0C0C0" w:fill="FFFFFF"/>
    </w:tcPr>
    <w:tblStylePr w:type="firstRow">
      <w:rPr>
        <w:b/>
        <w:bCs/>
      </w:rPr>
      <w:tblPr/>
      <w:tcPr>
        <w:tcBorders>
          <w:bottom w:val="single" w:sz="6" w:space="0" w:color="808080"/>
          <w:tl2br w:val="none" w:sz="0" w:space="0" w:color="auto"/>
          <w:tr2bl w:val="none" w:sz="0" w:space="0" w:color="auto"/>
        </w:tcBorders>
      </w:tcPr>
    </w:tblStylePr>
    <w:tblStylePr w:type="band1Vert">
      <w:rPr>
        <w:color w:val="auto"/>
      </w:rPr>
    </w:tblStylePr>
    <w:tblStylePr w:type="band2Vert">
      <w:rPr>
        <w:color w:val="auto"/>
      </w:rPr>
    </w:tblStylePr>
    <w:tblStylePr w:type="seCell">
      <w:tblPr/>
      <w:tcPr>
        <w:tcBorders>
          <w:top w:val="none" w:sz="0" w:space="0" w:color="auto"/>
          <w:left w:val="none" w:sz="0" w:space="0" w:color="auto"/>
          <w:tl2br w:val="none" w:sz="65" w:space="10" w:color="00003A" w:shadow="1" w:frame="1"/>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D60081"/>
    <w:pPr>
      <w:spacing w:before="240" w:after="60"/>
    </w:pPr>
    <w:tblPr>
      <w:tblInd w:w="0" w:type="nil"/>
      <w:tblCellMar>
        <w:left w:w="0" w:type="dxa"/>
        <w:right w:w="0" w:type="dxa"/>
      </w:tblCellMar>
    </w:tblPr>
    <w:tblStylePr w:type="firstRow">
      <w:rPr>
        <w:i/>
        <w:iCs/>
      </w:rPr>
    </w:tblStylePr>
    <w:tblStylePr w:type="lastRow">
      <w:rPr>
        <w:color w:val="auto"/>
      </w:rPr>
    </w:tblStylePr>
    <w:tblStylePr w:type="neCell">
      <w:rPr>
        <w:b/>
        <w:bCs/>
        <w:i w:val="0"/>
        <w:iCs w:val="0"/>
      </w:rPr>
    </w:tblStylePr>
    <w:tblStylePr w:type="swCell">
      <w:rPr>
        <w:b/>
        <w:bCs/>
      </w:rPr>
    </w:tblStylePr>
  </w:style>
  <w:style w:type="table" w:styleId="TableClassic2">
    <w:name w:val="Table Classic 2"/>
    <w:basedOn w:val="TableNormal"/>
    <w:semiHidden/>
    <w:rsid w:val="00D60081"/>
    <w:pPr>
      <w:spacing w:before="240" w:after="60"/>
    </w:pPr>
    <w:tblPr>
      <w:tblStyleRowBandSize w:val="1"/>
      <w:tblStyleColBandSize w:val="1"/>
      <w:tblInd w:w="0" w:type="nil"/>
      <w:tblCellMar>
        <w:left w:w="0" w:type="dxa"/>
        <w:right w:w="0" w:type="dxa"/>
      </w:tblCellMar>
    </w:tblPr>
    <w:tcPr>
      <w:tcBorders>
        <w:top w:val="single" w:sz="6" w:space="0" w:color="000000"/>
        <w:bottom w:val="dashDotStroked" w:sz="0" w:space="22" w:color="FF3A56" w:shadow="1" w:frame="1"/>
        <w:right w:val="single" w:sz="6" w:space="0" w:color="000000"/>
      </w:tcBorders>
      <w:shd w:val="clear" w:color="auto" w:fill="auto"/>
    </w:tcPr>
    <w:tblStylePr w:type="firstRow">
      <w:rPr>
        <w:color w:val="FFFFFF"/>
      </w:rPr>
    </w:tblStylePr>
    <w:tblStylePr w:type="firstCol">
      <w:rPr>
        <w:b/>
        <w:bCs/>
      </w:rPr>
    </w:tblStylePr>
    <w:tblStylePr w:type="neCell">
      <w:rPr>
        <w:b/>
        <w:bCs/>
      </w:rPr>
    </w:tblStylePr>
    <w:tblStylePr w:type="nwCell">
      <w:tblPr/>
      <w:tcPr>
        <w:tcBorders>
          <w:tl2br w:val="none" w:sz="0" w:space="0" w:color="auto"/>
          <w:tr2bl w:val="none" w:sz="0" w:space="0" w:color="auto"/>
        </w:tcBorders>
        <w:shd w:val="solid" w:color="800080" w:fill="FFFFFF"/>
      </w:tcPr>
    </w:tblStylePr>
    <w:tblStylePr w:type="swCell">
      <w:rPr>
        <w:color w:val="000080"/>
      </w:rPr>
    </w:tblStylePr>
  </w:style>
  <w:style w:type="table" w:styleId="TableClassic3">
    <w:name w:val="Table Classic 3"/>
    <w:basedOn w:val="TableNormal"/>
    <w:semiHidden/>
    <w:rsid w:val="00D60081"/>
    <w:pPr>
      <w:spacing w:before="240" w:after="60"/>
    </w:pPr>
    <w:rPr>
      <w:color w:val="000080"/>
    </w:rPr>
    <w:tblPr>
      <w:tblInd w:w="0" w:type="nil"/>
      <w:tblCellMar>
        <w:left w:w="0" w:type="dxa"/>
        <w:right w:w="0" w:type="dxa"/>
      </w:tblCellMar>
    </w:tblPr>
    <w:tblStylePr w:type="firstRow">
      <w:rPr>
        <w:b/>
        <w:bCs/>
        <w:i/>
        <w:iCs/>
        <w:color w:val="FFFFFF"/>
      </w:rPr>
    </w:tblStylePr>
    <w:tblStylePr w:type="lastRow">
      <w:rPr>
        <w:color w:val="000080"/>
      </w:rPr>
    </w:tblStylePr>
    <w:tblStylePr w:type="firstCol">
      <w:rPr>
        <w:b/>
        <w:bCs/>
        <w:color w:val="000000"/>
      </w:rPr>
    </w:tblStylePr>
  </w:style>
  <w:style w:type="table" w:styleId="TableClassic4">
    <w:name w:val="Table Classic 4"/>
    <w:basedOn w:val="TableNormal"/>
    <w:semiHidden/>
    <w:rsid w:val="00D60081"/>
    <w:pPr>
      <w:spacing w:before="240" w:after="60"/>
    </w:pPr>
    <w:tblPr>
      <w:tblInd w:w="0" w:type="nil"/>
      <w:tblCellMar>
        <w:left w:w="0" w:type="dxa"/>
        <w:right w:w="0" w:type="dxa"/>
      </w:tblCellMar>
    </w:tbl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styleId="TableColorful1">
    <w:name w:val="Table Colorful 1"/>
    <w:basedOn w:val="TableNormal"/>
    <w:semiHidden/>
    <w:rsid w:val="00D60081"/>
    <w:pPr>
      <w:spacing w:before="240" w:after="60"/>
    </w:pPr>
    <w:rPr>
      <w:color w:val="FFFFFF"/>
    </w:rPr>
    <w:tblPr>
      <w:tblInd w:w="0" w:type="nil"/>
      <w:tblCellMar>
        <w:left w:w="0" w:type="dxa"/>
        <w:right w:w="0" w:type="dxa"/>
      </w:tblCellMar>
    </w:tblPr>
    <w:tblStylePr w:type="firstRow">
      <w:rPr>
        <w:b/>
        <w:bCs/>
        <w:i/>
        <w:iCs/>
      </w:rPr>
    </w:tblStylePr>
    <w:tblStylePr w:type="firstCol">
      <w:rPr>
        <w:b/>
        <w:bCs/>
        <w:i/>
        <w:iCs/>
      </w:rPr>
    </w:tblStylePr>
    <w:tblStylePr w:type="swCell">
      <w:rPr>
        <w:b/>
        <w:bCs/>
        <w:i w:val="0"/>
        <w:iCs w:val="0"/>
      </w:rPr>
    </w:tblStylePr>
  </w:style>
  <w:style w:type="table" w:styleId="TableColorful2">
    <w:name w:val="Table Colorful 2"/>
    <w:basedOn w:val="TableNormal"/>
    <w:semiHidden/>
    <w:rsid w:val="00D60081"/>
    <w:pPr>
      <w:spacing w:before="240" w:after="60"/>
    </w:pPr>
    <w:tblPr>
      <w:tblInd w:w="0" w:type="nil"/>
      <w:tblCellMar>
        <w:left w:w="0" w:type="dxa"/>
        <w:right w:w="0" w:type="dxa"/>
      </w:tblCellMar>
    </w:tblPr>
    <w:tblStylePr w:type="firstRow">
      <w:rPr>
        <w:b/>
        <w:bCs/>
        <w:i/>
        <w:iCs/>
        <w:color w:val="FFFFFF"/>
      </w:rPr>
    </w:tblStylePr>
    <w:tblStylePr w:type="firstCol">
      <w:rPr>
        <w:b/>
        <w:bCs/>
        <w:i/>
        <w:iCs/>
      </w:rPr>
    </w:tblStylePr>
    <w:tblStylePr w:type="swCell">
      <w:rPr>
        <w:b/>
        <w:bCs/>
        <w:i w:val="0"/>
        <w:iCs w:val="0"/>
      </w:rPr>
    </w:tblStylePr>
  </w:style>
  <w:style w:type="table" w:styleId="TableColorful3">
    <w:name w:val="Table Colorful 3"/>
    <w:basedOn w:val="TableNormal"/>
    <w:semiHidden/>
    <w:rsid w:val="00D60081"/>
    <w:pPr>
      <w:spacing w:before="240" w:after="60"/>
    </w:pPr>
    <w:tblPr>
      <w:tblInd w:w="0" w:type="nil"/>
      <w:tblCellMar>
        <w:left w:w="0" w:type="dxa"/>
        <w:right w:w="0" w:type="dxa"/>
      </w:tblCellMar>
    </w:tblPr>
    <w:tblStylePr w:type="nwCell">
      <w:rPr>
        <w:b/>
        <w:bCs/>
        <w:color w:val="FFFFFF"/>
      </w:rPr>
    </w:tblStylePr>
  </w:style>
  <w:style w:type="table" w:styleId="TableColumns1">
    <w:name w:val="Table Columns 1"/>
    <w:basedOn w:val="TableNormal"/>
    <w:semiHidden/>
    <w:rsid w:val="00D60081"/>
    <w:pPr>
      <w:spacing w:before="240" w:after="60"/>
    </w:pPr>
    <w:rPr>
      <w:b/>
      <w:bCs/>
    </w:rPr>
    <w:tblPr>
      <w:tblInd w:w="0" w:type="nil"/>
      <w:tblCellMar>
        <w:left w:w="0" w:type="dxa"/>
        <w:right w:w="0" w:type="dxa"/>
      </w:tblCellMar>
    </w:tbl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styleId="TableColumns2">
    <w:name w:val="Table Columns 2"/>
    <w:basedOn w:val="TableNormal"/>
    <w:semiHidden/>
    <w:rsid w:val="00D60081"/>
    <w:pPr>
      <w:spacing w:before="240" w:after="60"/>
    </w:pPr>
    <w:rPr>
      <w:b/>
      <w:bCs/>
    </w:rPr>
    <w:tblPr>
      <w:tblStyleColBandSize w:val="1"/>
      <w:tblInd w:w="0" w:type="nil"/>
      <w:tblCellMar>
        <w:left w:w="0" w:type="dxa"/>
        <w:right w:w="0" w:type="dxa"/>
      </w:tblCellMar>
    </w:tblPr>
    <w:tcPr>
      <w:tcBorders>
        <w:bottom w:val="single" w:sz="6" w:space="0" w:color="000000"/>
        <w:right w:val="single" w:sz="6" w:space="0" w:color="808080"/>
      </w:tcBorders>
      <w:shd w:val="pct25" w:color="000000" w:fill="FFFFFF"/>
    </w:tc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nwCell">
      <w:tblPr/>
      <w:tcPr>
        <w:tcBorders>
          <w:tl2br w:val="none" w:sz="0" w:space="0" w:color="auto"/>
          <w:tr2bl w:val="none" w:sz="0" w:space="0" w:color="auto"/>
        </w:tcBorders>
        <w:shd w:val="solid" w:color="000000" w:fill="FFFFFF"/>
      </w:tcPr>
    </w:tblStylePr>
    <w:tblStylePr w:type="swCell">
      <w:rPr>
        <w:b/>
        <w:bCs/>
      </w:rPr>
    </w:tblStylePr>
  </w:style>
  <w:style w:type="table" w:styleId="TableColumns3">
    <w:name w:val="Table Columns 3"/>
    <w:basedOn w:val="TableNormal"/>
    <w:semiHidden/>
    <w:rsid w:val="00D60081"/>
    <w:pPr>
      <w:spacing w:before="240" w:after="60"/>
    </w:pPr>
    <w:rPr>
      <w:b/>
      <w:bCs/>
    </w:rPr>
    <w:tblPr>
      <w:tblStyleColBandSize w:val="1"/>
      <w:tblInd w:w="0" w:type="nil"/>
      <w:tblCellMar>
        <w:left w:w="0" w:type="dxa"/>
        <w:right w:w="0" w:type="dxa"/>
      </w:tblCellMar>
    </w:tblPr>
    <w:tcPr>
      <w:tcBorders>
        <w:bottom w:val="double" w:sz="6" w:space="0" w:color="000000"/>
        <w:right w:val="twistedLines1" w:sz="106" w:space="15" w:color="3A564B"/>
      </w:tcBorders>
      <w:shd w:val="clear" w:color="000000" w:fill="FFFFFF"/>
    </w:tcPr>
    <w:tblStylePr w:type="firstRow">
      <w:rPr>
        <w:color w:val="FFFFFF"/>
      </w:rPr>
    </w:tblStylePr>
    <w:tblStylePr w:type="lastRow">
      <w:rPr>
        <w:b w:val="0"/>
        <w:bCs w:val="0"/>
      </w:rPr>
      <w:tblPr/>
      <w:tcPr>
        <w:tcBorders>
          <w:tl2br w:val="none" w:sz="0" w:space="0" w:color="auto"/>
          <w:tr2bl w:val="none" w:sz="0" w:space="0" w:color="auto"/>
        </w:tcBorders>
      </w:tcPr>
    </w:tblStylePr>
    <w:tblStylePr w:type="firstCol">
      <w:rPr>
        <w:b w:val="0"/>
        <w:bCs w:val="0"/>
      </w:rPr>
    </w:tblStylePr>
    <w:tblStylePr w:type="lastCol">
      <w:rPr>
        <w:b w:val="0"/>
        <w:bCs w:val="0"/>
      </w:rPr>
      <w:tblPr/>
      <w:tcPr>
        <w:tcBorders>
          <w:tl2br w:val="none" w:sz="0" w:space="0" w:color="auto"/>
          <w:tr2bl w:val="none" w:sz="0" w:space="0" w:color="auto"/>
        </w:tcBorders>
      </w:tcPr>
    </w:tblStylePr>
    <w:tblStylePr w:type="band1Vert">
      <w:rPr>
        <w:color w:val="auto"/>
      </w:rPr>
      <w:tblPr/>
      <w:tcPr>
        <w:tcBorders>
          <w:tl2br w:val="none" w:sz="0" w:space="0" w:color="auto"/>
          <w:tr2bl w:val="none" w:sz="0" w:space="0" w:color="auto"/>
        </w:tcBorders>
      </w:tcPr>
    </w:tblStylePr>
    <w:tblStylePr w:type="band2Vert">
      <w:rPr>
        <w:color w:val="auto"/>
      </w:rPr>
      <w:tblPr/>
      <w:tcPr>
        <w:tcBorders>
          <w:tl2br w:val="none" w:sz="0" w:space="0" w:color="auto"/>
          <w:tr2bl w:val="none" w:sz="0" w:space="0" w:color="auto"/>
        </w:tcBorders>
      </w:tcPr>
    </w:tblStylePr>
    <w:tblStylePr w:type="neCell">
      <w:rPr>
        <w:b/>
        <w:bCs/>
      </w:rPr>
    </w:tblStylePr>
  </w:style>
  <w:style w:type="table" w:styleId="TableColumns4">
    <w:name w:val="Table Columns 4"/>
    <w:basedOn w:val="TableNormal"/>
    <w:semiHidden/>
    <w:rsid w:val="00D60081"/>
    <w:pPr>
      <w:spacing w:before="240" w:after="60"/>
    </w:pPr>
    <w:tblPr>
      <w:tblStyleColBandSize w:val="1"/>
      <w:tblInd w:w="0" w:type="nil"/>
      <w:tblCellMar>
        <w:left w:w="0" w:type="dxa"/>
        <w:right w:w="0" w:type="dxa"/>
      </w:tblCellMar>
    </w:tblPr>
    <w:tcPr>
      <w:tcBorders>
        <w:top w:val="single" w:sz="6" w:space="0" w:color="000080"/>
        <w:bottom w:val="double" w:sz="6" w:space="0" w:color="000000"/>
        <w:right w:val="single" w:sz="6" w:space="0" w:color="808080"/>
      </w:tcBorders>
      <w:shd w:val="pct50" w:color="008080" w:fill="FFFFFF"/>
    </w:tcPr>
    <w:tblStylePr w:type="firstRow">
      <w:rPr>
        <w:color w:val="FFFFFF"/>
      </w:rPr>
    </w:tblStylePr>
    <w:tblStylePr w:type="lastRow">
      <w:rPr>
        <w:b/>
        <w:bCs/>
      </w:rPr>
      <w:tblPr/>
      <w:trPr>
        <w:wBefore w:w="0" w:type="nil"/>
      </w:trPr>
      <w:tcPr>
        <w:tcBorders>
          <w:tl2br w:val="none" w:sz="0" w:space="0" w:color="auto"/>
        </w:tcBorders>
      </w:tcPr>
    </w:tblStylePr>
    <w:tblStylePr w:type="lastCol">
      <w:rPr>
        <w:b/>
        <w:bCs/>
      </w:rPr>
      <w:tblPr/>
      <w:trPr>
        <w:wBefore w:w="0" w:type="nil"/>
      </w:trPr>
      <w:tcPr>
        <w:tcBorders>
          <w:tl2br w:val="none" w:sz="0" w:space="0" w:color="auto"/>
        </w:tcBorders>
      </w:tcPr>
    </w:tblStylePr>
    <w:tblStylePr w:type="band1Vert">
      <w:rPr>
        <w:color w:val="auto"/>
      </w:rPr>
      <w:tblPr/>
      <w:trPr>
        <w:wBefore w:w="0" w:type="nil"/>
      </w:trPr>
      <w:tcPr>
        <w:tcBorders>
          <w:tl2br w:val="none" w:sz="0" w:space="0" w:color="auto"/>
        </w:tcBorders>
      </w:tcPr>
    </w:tblStylePr>
    <w:tblStylePr w:type="band2Vert">
      <w:rPr>
        <w:color w:val="auto"/>
      </w:rPr>
      <w:tblPr/>
      <w:trPr>
        <w:wBefore w:w="0" w:type="nil"/>
      </w:trPr>
      <w:tcPr>
        <w:tcBorders>
          <w:tl2br w:val="none" w:sz="0" w:space="0" w:color="auto"/>
        </w:tcBorders>
      </w:tcPr>
    </w:tblStylePr>
    <w:tblStylePr w:type="neCell">
      <w:tblPr/>
      <w:tcPr>
        <w:tcBorders>
          <w:tl2br w:val="none" w:sz="0" w:space="0" w:color="auto"/>
          <w:tr2bl w:val="none" w:sz="0" w:space="0" w:color="auto"/>
        </w:tcBorders>
        <w:shd w:val="clear" w:color="FFFF00" w:fill="FFFFFF"/>
      </w:tcPr>
    </w:tblStylePr>
    <w:tblStylePr w:type="nwCell">
      <w:tblPr/>
      <w:trPr>
        <w:wBefore w:w="0" w:type="nil"/>
      </w:trPr>
      <w:tcPr>
        <w:tcBorders>
          <w:tl2br w:val="none" w:sz="0" w:space="0" w:color="auto"/>
          <w:tr2bl w:val="none" w:sz="0" w:space="0" w:color="auto"/>
        </w:tcBorders>
        <w:shd w:val="clear" w:color="000000" w:fill="564B00"/>
      </w:tcPr>
    </w:tblStylePr>
  </w:style>
  <w:style w:type="table" w:styleId="TableColumns5">
    <w:name w:val="Table Columns 5"/>
    <w:basedOn w:val="TableNormal"/>
    <w:semiHidden/>
    <w:rsid w:val="00D60081"/>
    <w:pPr>
      <w:spacing w:before="240" w:after="60"/>
    </w:pPr>
    <w:tblPr>
      <w:tblStyleColBandSize w:val="1"/>
      <w:tblInd w:w="0" w:type="nil"/>
      <w:tblCellMar>
        <w:left w:w="0" w:type="dxa"/>
        <w:right w:w="0" w:type="dxa"/>
      </w:tblCellMar>
    </w:tblPr>
    <w:tcPr>
      <w:tcBorders>
        <w:bottom w:val="double" w:sz="6" w:space="0" w:color="000000"/>
      </w:tcBorders>
      <w:shd w:val="pct50" w:color="008080" w:fill="FFFFFF"/>
    </w:tc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styleId="TableContemporary">
    <w:name w:val="Table Contemporary"/>
    <w:basedOn w:val="TableNormal"/>
    <w:semiHidden/>
    <w:rsid w:val="00D60081"/>
    <w:pPr>
      <w:spacing w:before="240" w:after="60"/>
    </w:pPr>
    <w:tblPr>
      <w:tblInd w:w="0" w:type="nil"/>
      <w:tblCellMar>
        <w:left w:w="0" w:type="dxa"/>
        <w:right w:w="0" w:type="dxa"/>
      </w:tblCellMar>
    </w:tblPr>
    <w:tblStylePr w:type="firstRow">
      <w:rPr>
        <w:b/>
        <w:bCs/>
        <w:color w:val="auto"/>
      </w:rPr>
    </w:tblStylePr>
    <w:tblStylePr w:type="band1Horz">
      <w:rPr>
        <w:color w:val="auto"/>
      </w:rPr>
    </w:tblStylePr>
    <w:tblStylePr w:type="band2Horz">
      <w:rPr>
        <w:color w:val="auto"/>
      </w:rPr>
    </w:tblStylePr>
  </w:style>
  <w:style w:type="table" w:styleId="TableElegant">
    <w:name w:val="Table Elegant"/>
    <w:basedOn w:val="TableNormal"/>
    <w:semiHidden/>
    <w:rsid w:val="00D60081"/>
    <w:pPr>
      <w:spacing w:before="240" w:after="60"/>
    </w:pPr>
    <w:tblPr>
      <w:tblInd w:w="0" w:type="nil"/>
      <w:tblCellMar>
        <w:left w:w="0" w:type="dxa"/>
        <w:right w:w="0" w:type="dxa"/>
      </w:tblCellMar>
    </w:tblPr>
    <w:tblStylePr w:type="firstRow">
      <w:rPr>
        <w:caps/>
        <w:color w:val="auto"/>
      </w:rPr>
    </w:tblStylePr>
  </w:style>
  <w:style w:type="table" w:styleId="TableGrid">
    <w:name w:val="Table Grid"/>
    <w:basedOn w:val="TableNormal"/>
    <w:uiPriority w:val="39"/>
    <w:rsid w:val="00CE62DF"/>
    <w:pPr>
      <w:spacing w:before="60" w:after="60"/>
    </w:pPr>
    <w:rPr>
      <w:rFonts w:ascii="Arial" w:hAnsi="Arial"/>
      <w:sz w:val="18"/>
      <w:szCs w:val="19"/>
    </w:rPr>
    <w:tblPr>
      <w:tblInd w:w="0" w:type="nil"/>
      <w:tblCellMar>
        <w:left w:w="0" w:type="dxa"/>
        <w:right w:w="0" w:type="dxa"/>
      </w:tblCellMar>
    </w:tblPr>
    <w:tblStylePr w:type="firstRow">
      <w:rPr>
        <w:rFonts w:ascii="Arial" w:hAnsi="Arial"/>
        <w:b w:val="0"/>
        <w:i w:val="0"/>
        <w:sz w:val="18"/>
        <w:szCs w:val="19"/>
      </w:rPr>
    </w:tblStylePr>
    <w:tblStylePr w:type="lastRow">
      <w:rPr>
        <w:rFonts w:ascii="Arial" w:hAnsi="Arial"/>
        <w:sz w:val="18"/>
      </w:rPr>
    </w:tblStylePr>
  </w:style>
  <w:style w:type="table" w:styleId="TableGrid1">
    <w:name w:val="Table Grid 1"/>
    <w:basedOn w:val="TableNormal"/>
    <w:semiHidden/>
    <w:rsid w:val="00D60081"/>
    <w:pPr>
      <w:spacing w:before="240" w:after="60"/>
    </w:pPr>
    <w:tblPr>
      <w:tblInd w:w="0" w:type="nil"/>
      <w:tblCellMar>
        <w:left w:w="0" w:type="dxa"/>
        <w:right w:w="0" w:type="dxa"/>
      </w:tblCellMar>
    </w:tblPr>
    <w:tblStylePr w:type="lastRow">
      <w:rPr>
        <w:i/>
        <w:iCs/>
      </w:rPr>
    </w:tblStylePr>
    <w:tblStylePr w:type="lastCol">
      <w:rPr>
        <w:i/>
        <w:iCs/>
      </w:rPr>
    </w:tblStylePr>
  </w:style>
  <w:style w:type="table" w:styleId="TableGrid2">
    <w:name w:val="Table Grid 2"/>
    <w:basedOn w:val="TableNormal"/>
    <w:semiHidden/>
    <w:rsid w:val="00D60081"/>
    <w:pPr>
      <w:spacing w:before="240" w:after="60"/>
    </w:pPr>
    <w:tblPr>
      <w:tblInd w:w="0" w:type="nil"/>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table" w:styleId="TableGrid3">
    <w:name w:val="Table Grid 3"/>
    <w:basedOn w:val="TableNormal"/>
    <w:semiHidden/>
    <w:rsid w:val="00D60081"/>
    <w:pPr>
      <w:spacing w:before="240" w:after="60"/>
    </w:pPr>
    <w:tblPr>
      <w:tblInd w:w="0" w:type="nil"/>
      <w:tblCellMar>
        <w:left w:w="0" w:type="dxa"/>
        <w:right w:w="0" w:type="dxa"/>
      </w:tblCellMar>
    </w:tblPr>
    <w:tblStylePr w:type="lastRow">
      <w:rPr>
        <w:b/>
        <w:bCs/>
      </w:rPr>
    </w:tblStylePr>
    <w:tblStylePr w:type="lastCol">
      <w:rPr>
        <w:b/>
        <w:bCs/>
      </w:rPr>
    </w:tblStylePr>
  </w:style>
  <w:style w:type="table" w:styleId="TableGrid4">
    <w:name w:val="Table Grid 4"/>
    <w:basedOn w:val="TableNormal"/>
    <w:semiHidden/>
    <w:rsid w:val="00D60081"/>
    <w:pPr>
      <w:spacing w:before="240" w:after="60"/>
    </w:pPr>
    <w:tblPr>
      <w:tblInd w:w="0" w:type="nil"/>
      <w:tblCellMar>
        <w:left w:w="0" w:type="dxa"/>
        <w:right w:w="0" w:type="dxa"/>
      </w:tblCellMar>
    </w:tblPr>
    <w:tblStylePr w:type="firstRow">
      <w:rPr>
        <w:color w:val="auto"/>
      </w:rPr>
    </w:tblStylePr>
    <w:tblStylePr w:type="lastRow">
      <w:rPr>
        <w:b/>
        <w:bCs/>
        <w:color w:val="auto"/>
      </w:rPr>
    </w:tblStylePr>
    <w:tblStylePr w:type="lastCol">
      <w:rPr>
        <w:b/>
        <w:bCs/>
        <w:color w:val="auto"/>
      </w:rPr>
    </w:tblStylePr>
  </w:style>
  <w:style w:type="table" w:styleId="TableGrid5">
    <w:name w:val="Table Grid 5"/>
    <w:basedOn w:val="TableNormal"/>
    <w:semiHidden/>
    <w:rsid w:val="00D60081"/>
    <w:pPr>
      <w:spacing w:before="240" w:after="60"/>
    </w:pPr>
    <w:tblPr>
      <w:tblStyleColBandSize w:val="1"/>
      <w:tblInd w:w="0" w:type="nil"/>
      <w:tblCellMar>
        <w:left w:w="0" w:type="dxa"/>
        <w:right w:w="0" w:type="dxa"/>
      </w:tblCellMar>
    </w:tblPr>
    <w:tcPr>
      <w:tcBorders>
        <w:bottom w:val="double" w:sz="6" w:space="0" w:color="000000"/>
      </w:tcBorders>
      <w:shd w:val="pct50" w:color="008080" w:fill="FFFFFF"/>
    </w:tcPr>
    <w:tblStylePr w:type="lastRow">
      <w:rPr>
        <w:b/>
        <w:bCs/>
      </w:rPr>
    </w:tblStylePr>
    <w:tblStylePr w:type="lastCol">
      <w:rPr>
        <w:b/>
        <w:bCs/>
      </w:rPr>
    </w:tblStylePr>
  </w:style>
  <w:style w:type="table" w:styleId="TableGrid6">
    <w:name w:val="Table Grid 6"/>
    <w:basedOn w:val="TableNormal"/>
    <w:semiHidden/>
    <w:rsid w:val="00D60081"/>
    <w:pPr>
      <w:spacing w:before="240" w:after="60"/>
    </w:pPr>
    <w:tblPr>
      <w:tblInd w:w="0" w:type="nil"/>
      <w:tblCellMar>
        <w:left w:w="0" w:type="dxa"/>
        <w:right w:w="0" w:type="dxa"/>
      </w:tblCellMar>
    </w:tblPr>
    <w:tblStylePr w:type="firstRow">
      <w:rPr>
        <w:b/>
        <w:bCs/>
      </w:rPr>
    </w:tblStylePr>
    <w:tblStylePr w:type="lastRow">
      <w:rPr>
        <w:color w:val="auto"/>
      </w:rPr>
    </w:tblStylePr>
    <w:tblStylePr w:type="firstCol">
      <w:rPr>
        <w:b/>
        <w:bCs/>
      </w:rPr>
    </w:tblStylePr>
  </w:style>
  <w:style w:type="table" w:styleId="TableGrid7">
    <w:name w:val="Table Grid 7"/>
    <w:basedOn w:val="TableNormal"/>
    <w:semiHidden/>
    <w:rsid w:val="00D60081"/>
    <w:pPr>
      <w:spacing w:before="240" w:after="60"/>
    </w:pPr>
    <w:rPr>
      <w:b/>
      <w:bCs/>
    </w:rPr>
    <w:tblPr>
      <w:tblInd w:w="0" w:type="nil"/>
      <w:tblCellMar>
        <w:left w:w="0" w:type="dxa"/>
        <w:right w:w="0" w:type="dxa"/>
      </w:tblCellMar>
    </w:tbl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styleId="TableGrid8">
    <w:name w:val="Table Grid 8"/>
    <w:basedOn w:val="TableNormal"/>
    <w:semiHidden/>
    <w:rsid w:val="00D60081"/>
    <w:pPr>
      <w:spacing w:before="240" w:after="60"/>
    </w:pPr>
    <w:tblPr>
      <w:tblInd w:w="0" w:type="nil"/>
      <w:tblCellMar>
        <w:left w:w="0" w:type="dxa"/>
        <w:right w:w="0" w:type="dxa"/>
      </w:tblCellMar>
    </w:tblPr>
    <w:tblStylePr w:type="firstRow">
      <w:rPr>
        <w:b/>
        <w:bCs/>
        <w:color w:val="FFFFFF"/>
      </w:rPr>
    </w:tblStylePr>
    <w:tblStylePr w:type="lastRow">
      <w:rPr>
        <w:b/>
        <w:bCs/>
        <w:color w:val="auto"/>
      </w:rPr>
    </w:tblStylePr>
    <w:tblStylePr w:type="lastCol">
      <w:rPr>
        <w:b/>
        <w:bCs/>
        <w:color w:val="auto"/>
      </w:rPr>
    </w:tblStylePr>
  </w:style>
  <w:style w:type="table" w:styleId="TableList1">
    <w:name w:val="Table List 1"/>
    <w:basedOn w:val="TableNormal"/>
    <w:semiHidden/>
    <w:rsid w:val="00D60081"/>
    <w:pPr>
      <w:spacing w:before="240" w:after="60"/>
    </w:pPr>
    <w:tblPr>
      <w:tblInd w:w="0" w:type="nil"/>
      <w:tblCellMar>
        <w:left w:w="0" w:type="dxa"/>
        <w:right w:w="0" w:type="dxa"/>
      </w:tblCellMar>
    </w:tbl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styleId="TableList2">
    <w:name w:val="Table List 2"/>
    <w:basedOn w:val="TableNormal"/>
    <w:semiHidden/>
    <w:rsid w:val="00D60081"/>
    <w:pPr>
      <w:spacing w:before="240" w:after="60"/>
    </w:pPr>
    <w:tblPr>
      <w:tblStyleRowBandSize w:val="2"/>
      <w:tblInd w:w="0" w:type="nil"/>
      <w:tblCellMar>
        <w:left w:w="0" w:type="dxa"/>
        <w:right w:w="0" w:type="dxa"/>
      </w:tblCellMar>
    </w:tblPr>
    <w:tcPr>
      <w:tcBorders>
        <w:bottom w:val="double" w:sz="6" w:space="0" w:color="000000"/>
      </w:tcBorders>
      <w:shd w:val="pct20" w:color="00FF00" w:fill="FFFFFF"/>
    </w:tc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styleId="TableList3">
    <w:name w:val="Table List 3"/>
    <w:basedOn w:val="TableNormal"/>
    <w:semiHidden/>
    <w:rsid w:val="00D60081"/>
    <w:pPr>
      <w:spacing w:before="240" w:after="60"/>
    </w:pPr>
    <w:tblPr>
      <w:tblInd w:w="0" w:type="nil"/>
      <w:tblCellMar>
        <w:left w:w="0" w:type="dxa"/>
        <w:right w:w="0" w:type="dxa"/>
      </w:tblCellMar>
    </w:tblPr>
    <w:tblStylePr w:type="firstRow">
      <w:rPr>
        <w:b/>
        <w:bCs/>
        <w:color w:val="000080"/>
      </w:rPr>
    </w:tblStylePr>
    <w:tblStylePr w:type="swCell">
      <w:rPr>
        <w:i/>
        <w:iCs/>
        <w:color w:val="000080"/>
      </w:rPr>
    </w:tblStylePr>
  </w:style>
  <w:style w:type="table" w:styleId="TableList4">
    <w:name w:val="Table List 4"/>
    <w:basedOn w:val="TableNormal"/>
    <w:semiHidden/>
    <w:rsid w:val="00D60081"/>
    <w:pPr>
      <w:spacing w:before="240" w:after="60"/>
    </w:pPr>
    <w:tblPr>
      <w:tblInd w:w="0" w:type="nil"/>
      <w:tblCellMar>
        <w:left w:w="0" w:type="dxa"/>
        <w:right w:w="0" w:type="dxa"/>
      </w:tblCellMar>
    </w:tblPr>
    <w:tblStylePr w:type="firstRow">
      <w:rPr>
        <w:b/>
        <w:bCs/>
        <w:color w:val="FFFFFF"/>
      </w:rPr>
    </w:tblStylePr>
  </w:style>
  <w:style w:type="table" w:styleId="TableList5">
    <w:name w:val="Table List 5"/>
    <w:basedOn w:val="TableNormal"/>
    <w:semiHidden/>
    <w:rsid w:val="00D60081"/>
    <w:pPr>
      <w:spacing w:before="240" w:after="60"/>
    </w:pPr>
    <w:tblPr>
      <w:tblInd w:w="0" w:type="nil"/>
      <w:tblCellMar>
        <w:left w:w="0" w:type="dxa"/>
        <w:right w:w="0" w:type="dxa"/>
      </w:tblCellMar>
    </w:tblPr>
    <w:tblStylePr w:type="firstRow">
      <w:rPr>
        <w:b/>
        <w:bCs/>
      </w:rPr>
    </w:tblStylePr>
    <w:tblStylePr w:type="firstCol">
      <w:rPr>
        <w:b/>
        <w:bCs/>
      </w:rPr>
    </w:tblStylePr>
  </w:style>
  <w:style w:type="table" w:styleId="TableList6">
    <w:name w:val="Table List 6"/>
    <w:basedOn w:val="TableNormal"/>
    <w:semiHidden/>
    <w:rsid w:val="00D60081"/>
    <w:pPr>
      <w:spacing w:before="240" w:after="60"/>
    </w:pPr>
    <w:tblPr>
      <w:tblInd w:w="0" w:type="nil"/>
      <w:tblCellMar>
        <w:left w:w="0" w:type="dxa"/>
        <w:right w:w="0" w:type="dxa"/>
      </w:tblCellMar>
    </w:tblPr>
    <w:tblStylePr w:type="firstRow">
      <w:rPr>
        <w:b/>
        <w:bCs/>
      </w:rPr>
    </w:tblStylePr>
    <w:tblStylePr w:type="firstCol">
      <w:rPr>
        <w:b/>
        <w:bCs/>
      </w:rPr>
    </w:tblStylePr>
  </w:style>
  <w:style w:type="table" w:styleId="TableList7">
    <w:name w:val="Table List 7"/>
    <w:basedOn w:val="TableNormal"/>
    <w:semiHidden/>
    <w:rsid w:val="00D60081"/>
    <w:pPr>
      <w:spacing w:before="240" w:after="60"/>
    </w:pPr>
    <w:tblPr>
      <w:tblInd w:w="0" w:type="nil"/>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styleId="TableList8">
    <w:name w:val="Table List 8"/>
    <w:basedOn w:val="TableNormal"/>
    <w:semiHidden/>
    <w:rsid w:val="00D60081"/>
    <w:pPr>
      <w:spacing w:before="240" w:after="60"/>
    </w:pPr>
    <w:tblPr>
      <w:tblInd w:w="0" w:type="nil"/>
      <w:tblCellMar>
        <w:left w:w="0" w:type="dxa"/>
        <w:right w:w="0" w:type="dxa"/>
      </w:tblCellMar>
    </w:tbl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styleId="TableProfessional">
    <w:name w:val="Table Professional"/>
    <w:basedOn w:val="TableNormal"/>
    <w:semiHidden/>
    <w:rsid w:val="00D60081"/>
    <w:pPr>
      <w:spacing w:before="240" w:after="60"/>
    </w:pPr>
    <w:tblPr>
      <w:tblInd w:w="0" w:type="nil"/>
      <w:tblCellMar>
        <w:left w:w="0" w:type="dxa"/>
        <w:right w:w="0" w:type="dxa"/>
      </w:tblCellMar>
    </w:tblPr>
    <w:tblStylePr w:type="firstRow">
      <w:rPr>
        <w:b/>
        <w:bCs/>
        <w:color w:val="auto"/>
      </w:rPr>
    </w:tblStylePr>
  </w:style>
  <w:style w:type="table" w:styleId="TableSimple1">
    <w:name w:val="Table Simple 1"/>
    <w:basedOn w:val="TableNormal"/>
    <w:semiHidden/>
    <w:rsid w:val="00D60081"/>
    <w:pPr>
      <w:spacing w:before="240" w:after="60"/>
    </w:pPr>
    <w:tblPr>
      <w:tblInd w:w="0" w:type="nil"/>
      <w:tblCellMar>
        <w:left w:w="0" w:type="dxa"/>
        <w:right w:w="0" w:type="dxa"/>
      </w:tblCellMar>
    </w:tblPr>
  </w:style>
  <w:style w:type="table" w:styleId="TableSimple2">
    <w:name w:val="Table Simple 2"/>
    <w:basedOn w:val="TableNormal"/>
    <w:semiHidden/>
    <w:rsid w:val="00D60081"/>
    <w:pPr>
      <w:spacing w:before="240" w:after="60"/>
    </w:pPr>
    <w:tblPr>
      <w:tblStyleRowBandSize w:val="2"/>
      <w:tblInd w:w="0" w:type="nil"/>
      <w:tblCellMar>
        <w:left w:w="0" w:type="dxa"/>
        <w:right w:w="0" w:type="dxa"/>
      </w:tblCellMar>
    </w:tblPr>
    <w:tcPr>
      <w:tcBorders>
        <w:top w:val="none" w:sz="0" w:space="22" w:color="003A56" w:frame="1"/>
        <w:bottom w:val="dashDotStroked" w:sz="0" w:space="22" w:color="003A56" w:shadow="1" w:frame="1"/>
      </w:tcBorders>
      <w:shd w:val="clear" w:color="008080" w:fill="3A565A"/>
    </w:tcPr>
    <w:tblStylePr w:type="firstRow">
      <w:rPr>
        <w:b/>
        <w:bCs/>
      </w:rPr>
    </w:tblStylePr>
    <w:tblStylePr w:type="lastRow">
      <w:rPr>
        <w:b/>
        <w:bCs/>
        <w:color w:val="auto"/>
      </w:rPr>
      <w:tblPr>
        <w:tblCellMar>
          <w:top w:w="0" w:type="dxa"/>
          <w:left w:w="0" w:type="dxa"/>
          <w:bottom w:w="0" w:type="dxa"/>
          <w:right w:w="0" w:type="dxa"/>
        </w:tblCellMar>
      </w:tblPr>
    </w:tblStylePr>
    <w:tblStylePr w:type="firstCol">
      <w:rPr>
        <w:b/>
        <w:bCs/>
      </w:rPr>
    </w:tblStylePr>
    <w:tblStylePr w:type="lastCol">
      <w:rPr>
        <w:b/>
        <w:bCs/>
      </w:rPr>
    </w:tblStylePr>
    <w:tblStylePr w:type="neCell">
      <w:rPr>
        <w:b/>
        <w:bCs/>
      </w:rPr>
      <w:tblPr>
        <w:tblCellMar>
          <w:top w:w="0" w:type="dxa"/>
          <w:left w:w="0" w:type="dxa"/>
          <w:bottom w:w="0" w:type="dxa"/>
          <w:right w:w="0" w:type="dxa"/>
        </w:tblCellMar>
      </w:tblPr>
    </w:tblStylePr>
    <w:tblStylePr w:type="swCell">
      <w:rPr>
        <w:b/>
        <w:bCs/>
      </w:rPr>
      <w:tblPr/>
      <w:tcPr>
        <w:tcBorders>
          <w:tl2br w:val="none" w:sz="0" w:space="26" w:color="auto" w:shadow="1"/>
        </w:tcBorders>
      </w:tcPr>
    </w:tblStylePr>
  </w:style>
  <w:style w:type="table" w:styleId="TableSimple3">
    <w:name w:val="Table Simple 3"/>
    <w:basedOn w:val="TableNormal"/>
    <w:semiHidden/>
    <w:rsid w:val="00D60081"/>
    <w:pPr>
      <w:spacing w:before="240" w:after="60"/>
    </w:pPr>
    <w:tblPr>
      <w:tblInd w:w="0" w:type="nil"/>
      <w:tblCellMar>
        <w:left w:w="0" w:type="dxa"/>
        <w:right w:w="0" w:type="dxa"/>
      </w:tblCellMar>
    </w:tblPr>
    <w:tblStylePr w:type="firstRow">
      <w:rPr>
        <w:b/>
        <w:bCs/>
        <w:color w:val="FFFFFF"/>
      </w:rPr>
    </w:tblStylePr>
  </w:style>
  <w:style w:type="table" w:styleId="TableSubtle1">
    <w:name w:val="Table Subtle 1"/>
    <w:basedOn w:val="TableNormal"/>
    <w:semiHidden/>
    <w:rsid w:val="00D60081"/>
    <w:pPr>
      <w:spacing w:before="240" w:after="60"/>
    </w:pPr>
    <w:tblPr>
      <w:tblInd w:w="0" w:type="nil"/>
      <w:tblCellMar>
        <w:left w:w="0" w:type="dxa"/>
        <w:right w:w="0" w:type="dxa"/>
      </w:tblCellMar>
    </w:tblPr>
    <w:tblStylePr w:type="neCell">
      <w:rPr>
        <w:b/>
        <w:bCs/>
      </w:rPr>
    </w:tblStylePr>
    <w:tblStylePr w:type="swCell">
      <w:rPr>
        <w:b/>
        <w:bCs/>
      </w:rPr>
    </w:tblStylePr>
  </w:style>
  <w:style w:type="table" w:styleId="TableSubtle2">
    <w:name w:val="Table Subtle 2"/>
    <w:basedOn w:val="TableNormal"/>
    <w:semiHidden/>
    <w:rsid w:val="00D60081"/>
    <w:pPr>
      <w:spacing w:before="240" w:after="60"/>
    </w:pPr>
    <w:tblPr>
      <w:tblInd w:w="0" w:type="nil"/>
      <w:tblCellMar>
        <w:left w:w="0" w:type="dxa"/>
        <w:right w:w="0" w:type="dxa"/>
      </w:tblCellMar>
    </w:tblPr>
    <w:tcPr>
      <w:tcBorders>
        <w:bottom w:val="double" w:sz="6" w:space="0" w:color="000000"/>
      </w:tcBorders>
    </w:tcPr>
    <w:tblStylePr w:type="neCell">
      <w:rPr>
        <w:b/>
        <w:bCs/>
      </w:rPr>
    </w:tblStylePr>
    <w:tblStylePr w:type="swCell">
      <w:rPr>
        <w:b/>
        <w:bCs/>
      </w:rPr>
    </w:tblStylePr>
  </w:style>
  <w:style w:type="table" w:styleId="TableTheme">
    <w:name w:val="Table Theme"/>
    <w:basedOn w:val="TableNormal"/>
    <w:semiHidden/>
    <w:rsid w:val="00D60081"/>
    <w:pPr>
      <w:spacing w:before="240" w:after="60"/>
    </w:pPr>
    <w:tblPr>
      <w:tblInd w:w="0" w:type="nil"/>
      <w:tblCellMar>
        <w:left w:w="0" w:type="dxa"/>
        <w:right w:w="0" w:type="dxa"/>
      </w:tblCellMar>
    </w:tblPr>
  </w:style>
  <w:style w:type="table" w:styleId="TableWeb1">
    <w:name w:val="Table Web 1"/>
    <w:basedOn w:val="TableNormal"/>
    <w:semiHidden/>
    <w:rsid w:val="00D60081"/>
    <w:pPr>
      <w:spacing w:before="240" w:after="60"/>
    </w:pPr>
    <w:tblPr>
      <w:tblInd w:w="0" w:type="nil"/>
      <w:tblCellMar>
        <w:left w:w="0" w:type="dxa"/>
        <w:right w:w="0" w:type="dxa"/>
      </w:tblCellMar>
    </w:tblPr>
    <w:tblStylePr w:type="firstRow">
      <w:rPr>
        <w:color w:val="auto"/>
      </w:rPr>
    </w:tblStylePr>
  </w:style>
  <w:style w:type="table" w:styleId="TableWeb2">
    <w:name w:val="Table Web 2"/>
    <w:basedOn w:val="TableNormal"/>
    <w:semiHidden/>
    <w:rsid w:val="00D60081"/>
    <w:pPr>
      <w:spacing w:before="240" w:after="60"/>
    </w:pPr>
    <w:tblPr>
      <w:tblInd w:w="0" w:type="nil"/>
      <w:tblCellMar>
        <w:left w:w="0" w:type="dxa"/>
        <w:right w:w="0" w:type="dxa"/>
      </w:tblCellMar>
    </w:tblPr>
    <w:tblStylePr w:type="firstRow">
      <w:rPr>
        <w:color w:val="auto"/>
      </w:rPr>
    </w:tblStylePr>
  </w:style>
  <w:style w:type="table" w:styleId="TableWeb3">
    <w:name w:val="Table Web 3"/>
    <w:basedOn w:val="TableNormal"/>
    <w:semiHidden/>
    <w:rsid w:val="00D60081"/>
    <w:pPr>
      <w:spacing w:before="240" w:after="60"/>
    </w:pPr>
    <w:tblPr>
      <w:tblInd w:w="0" w:type="nil"/>
      <w:tblCellMar>
        <w:left w:w="0" w:type="dxa"/>
        <w:right w:w="0" w:type="dxa"/>
      </w:tblCellMar>
    </w:tblPr>
    <w:tblStylePr w:type="firstRow">
      <w:rPr>
        <w:color w:val="auto"/>
      </w:rPr>
    </w:tblStylePr>
  </w:style>
  <w:style w:type="paragraph" w:styleId="List2">
    <w:name w:val="List 2"/>
    <w:basedOn w:val="Normal"/>
    <w:uiPriority w:val="99"/>
    <w:semiHidden/>
    <w:rsid w:val="00D60081"/>
    <w:pPr>
      <w:ind w:left="566" w:hanging="283"/>
    </w:pPr>
  </w:style>
  <w:style w:type="paragraph" w:styleId="List">
    <w:name w:val="List"/>
    <w:basedOn w:val="Normal"/>
    <w:uiPriority w:val="99"/>
    <w:semiHidden/>
    <w:rsid w:val="00D60081"/>
    <w:pPr>
      <w:ind w:left="283" w:hanging="283"/>
    </w:pPr>
  </w:style>
  <w:style w:type="paragraph" w:styleId="List3">
    <w:name w:val="List 3"/>
    <w:uiPriority w:val="99"/>
    <w:semiHidden/>
    <w:rsid w:val="002C48F8"/>
    <w:pPr>
      <w:numPr>
        <w:numId w:val="4"/>
      </w:numPr>
    </w:pPr>
    <w:rPr>
      <w:rFonts w:ascii="Arial" w:hAnsi="Arial"/>
      <w:sz w:val="21"/>
      <w:szCs w:val="21"/>
      <w:lang w:eastAsia="en-GB"/>
    </w:rPr>
  </w:style>
  <w:style w:type="paragraph" w:customStyle="1" w:styleId="CS-IBMHeader">
    <w:name w:val="CS-IBM Header"/>
    <w:qFormat/>
    <w:rsid w:val="003E58D5"/>
    <w:pPr>
      <w:pBdr>
        <w:bottom w:val="single" w:sz="12" w:space="4" w:color="808080" w:themeColor="background1" w:themeShade="80"/>
      </w:pBdr>
      <w:spacing w:after="120"/>
    </w:pPr>
    <w:rPr>
      <w:rFonts w:ascii="Century Gothic" w:hAnsi="Century Gothic" w:cs="Arial"/>
      <w:noProof/>
      <w:color w:val="0E3152"/>
      <w:sz w:val="18"/>
      <w:szCs w:val="16"/>
      <w:lang w:eastAsia="en-GB"/>
    </w:rPr>
  </w:style>
  <w:style w:type="table" w:customStyle="1" w:styleId="BasicTable">
    <w:name w:val="Basic Table"/>
    <w:basedOn w:val="TableNormal"/>
    <w:rsid w:val="00CE62DF"/>
    <w:pPr>
      <w:widowControl w:val="0"/>
      <w:adjustRightInd w:val="0"/>
      <w:spacing w:before="120" w:after="120"/>
      <w:textAlignment w:val="baseline"/>
    </w:pPr>
    <w:rPr>
      <w:rFonts w:ascii="Arial" w:eastAsia="MS Mincho" w:hAnsi="Arial"/>
      <w:sz w:val="18"/>
    </w:rPr>
    <w:tblPr>
      <w:tblInd w:w="0" w:type="nil"/>
      <w:tblCellMar>
        <w:left w:w="0" w:type="dxa"/>
        <w:right w:w="0" w:type="dxa"/>
      </w:tblCellMar>
    </w:tblPr>
    <w:tblStylePr w:type="firstRow">
      <w:rPr>
        <w:rFonts w:ascii="IBM Plex Sans" w:hAnsi="IBM Plex Sans"/>
        <w:b/>
        <w:bCs/>
        <w:i w:val="0"/>
        <w:color w:val="333333"/>
        <w:sz w:val="20"/>
      </w:rPr>
    </w:tblStylePr>
    <w:tblStylePr w:type="lastRow">
      <w:rPr>
        <w:rFonts w:ascii="IBM Plex Sans" w:hAnsi="IBM Plex Sans"/>
        <w:b/>
        <w:i w:val="0"/>
        <w:color w:val="auto"/>
        <w:sz w:val="20"/>
      </w:rPr>
    </w:tblStylePr>
    <w:tblStylePr w:type="swCell">
      <w:rPr>
        <w:rFonts w:ascii="IBM Plex Sans" w:hAnsi="IBM Plex Sans"/>
        <w:b/>
        <w:i/>
        <w:iCs/>
        <w:color w:val="auto"/>
        <w:sz w:val="20"/>
      </w:rPr>
    </w:tblStylePr>
  </w:style>
  <w:style w:type="character" w:styleId="Strong">
    <w:name w:val="Strong"/>
    <w:uiPriority w:val="22"/>
    <w:qFormat/>
    <w:locked/>
    <w:rsid w:val="00197132"/>
    <w:rPr>
      <w:b/>
      <w:bCs/>
    </w:rPr>
  </w:style>
  <w:style w:type="paragraph" w:styleId="TableofFigures">
    <w:name w:val="table of figures"/>
    <w:basedOn w:val="CS-IBMResponseText"/>
    <w:next w:val="CS-IBMResponseText"/>
    <w:uiPriority w:val="99"/>
    <w:rsid w:val="00B03463"/>
    <w:pPr>
      <w:spacing w:before="180" w:after="60"/>
    </w:pPr>
  </w:style>
  <w:style w:type="paragraph" w:customStyle="1" w:styleId="CS-IBMTOCforTOCTitleonly">
    <w:name w:val="CS-IBM TOC (for TOC Title only)"/>
    <w:qFormat/>
    <w:rsid w:val="00A753DD"/>
    <w:pPr>
      <w:jc w:val="center"/>
    </w:pPr>
    <w:rPr>
      <w:rFonts w:ascii="Arial" w:hAnsi="Arial" w:cs="Arial"/>
      <w:color w:val="0070C0"/>
      <w:sz w:val="44"/>
      <w:szCs w:val="44"/>
      <w:lang w:eastAsia="en-GB"/>
    </w:rPr>
  </w:style>
  <w:style w:type="paragraph" w:styleId="TOC1">
    <w:name w:val="toc 1"/>
    <w:basedOn w:val="CS-IBMResponseText"/>
    <w:next w:val="CS-IBMResponseText"/>
    <w:uiPriority w:val="39"/>
    <w:qFormat/>
    <w:rsid w:val="001B3A39"/>
    <w:pPr>
      <w:spacing w:after="0"/>
    </w:pPr>
    <w:rPr>
      <w:rFonts w:asciiTheme="minorHAnsi" w:hAnsiTheme="minorHAnsi" w:cstheme="minorHAnsi"/>
      <w:b/>
      <w:bCs/>
      <w:i/>
      <w:iCs/>
      <w:color w:val="000000" w:themeColor="text1"/>
      <w:sz w:val="24"/>
      <w:szCs w:val="24"/>
    </w:rPr>
  </w:style>
  <w:style w:type="paragraph" w:styleId="TOC2">
    <w:name w:val="toc 2"/>
    <w:basedOn w:val="TOC1"/>
    <w:uiPriority w:val="39"/>
    <w:qFormat/>
    <w:rsid w:val="004B5B02"/>
    <w:pPr>
      <w:ind w:left="220"/>
    </w:pPr>
    <w:rPr>
      <w:i w:val="0"/>
      <w:iCs w:val="0"/>
      <w:sz w:val="22"/>
      <w:szCs w:val="22"/>
    </w:rPr>
  </w:style>
  <w:style w:type="paragraph" w:styleId="TOC3">
    <w:name w:val="toc 3"/>
    <w:basedOn w:val="TOC2"/>
    <w:uiPriority w:val="39"/>
    <w:qFormat/>
    <w:rsid w:val="001B3A39"/>
    <w:pPr>
      <w:spacing w:before="0"/>
      <w:ind w:left="440"/>
    </w:pPr>
    <w:rPr>
      <w:b w:val="0"/>
      <w:bCs w:val="0"/>
      <w:sz w:val="20"/>
      <w:szCs w:val="20"/>
    </w:rPr>
  </w:style>
  <w:style w:type="paragraph" w:styleId="TOC4">
    <w:name w:val="toc 4"/>
    <w:basedOn w:val="TOC3"/>
    <w:uiPriority w:val="39"/>
    <w:rsid w:val="004B5B02"/>
    <w:pPr>
      <w:ind w:left="660"/>
    </w:pPr>
  </w:style>
  <w:style w:type="paragraph" w:styleId="TOC5">
    <w:name w:val="toc 5"/>
    <w:basedOn w:val="TOC3"/>
    <w:next w:val="Normal"/>
    <w:uiPriority w:val="99"/>
    <w:semiHidden/>
    <w:rsid w:val="00D60081"/>
    <w:pPr>
      <w:ind w:left="880"/>
    </w:pPr>
  </w:style>
  <w:style w:type="paragraph" w:styleId="TOC6">
    <w:name w:val="toc 6"/>
    <w:basedOn w:val="TOC5"/>
    <w:next w:val="Normal"/>
    <w:uiPriority w:val="99"/>
    <w:semiHidden/>
    <w:rsid w:val="00D60081"/>
    <w:pPr>
      <w:ind w:left="1100"/>
    </w:pPr>
  </w:style>
  <w:style w:type="paragraph" w:styleId="TOC7">
    <w:name w:val="toc 7"/>
    <w:basedOn w:val="TOC5"/>
    <w:next w:val="Normal"/>
    <w:uiPriority w:val="99"/>
    <w:semiHidden/>
    <w:rsid w:val="00D60081"/>
    <w:pPr>
      <w:ind w:left="1320"/>
    </w:pPr>
  </w:style>
  <w:style w:type="paragraph" w:styleId="TOC8">
    <w:name w:val="toc 8"/>
    <w:basedOn w:val="TOC5"/>
    <w:next w:val="Normal"/>
    <w:uiPriority w:val="99"/>
    <w:semiHidden/>
    <w:rsid w:val="00D60081"/>
    <w:pPr>
      <w:ind w:left="1540"/>
    </w:pPr>
  </w:style>
  <w:style w:type="paragraph" w:styleId="TOC9">
    <w:name w:val="toc 9"/>
    <w:basedOn w:val="TOC5"/>
    <w:next w:val="Normal"/>
    <w:uiPriority w:val="99"/>
    <w:semiHidden/>
    <w:rsid w:val="00D60081"/>
    <w:pPr>
      <w:ind w:left="1760"/>
    </w:pPr>
  </w:style>
  <w:style w:type="character" w:styleId="EndnoteReference">
    <w:name w:val="endnote reference"/>
    <w:uiPriority w:val="99"/>
    <w:semiHidden/>
    <w:rsid w:val="00D60081"/>
    <w:rPr>
      <w:rFonts w:ascii="Arial Bold" w:hAnsi="Arial Bold"/>
      <w:b/>
      <w:sz w:val="18"/>
      <w:szCs w:val="18"/>
      <w:vertAlign w:val="superscript"/>
    </w:rPr>
  </w:style>
  <w:style w:type="paragraph" w:styleId="EndnoteText">
    <w:name w:val="endnote text"/>
    <w:basedOn w:val="Normal"/>
    <w:uiPriority w:val="99"/>
    <w:rsid w:val="00E318B7"/>
    <w:pPr>
      <w:spacing w:before="240"/>
    </w:pPr>
    <w:rPr>
      <w:i/>
      <w:sz w:val="16"/>
      <w:szCs w:val="16"/>
    </w:rPr>
  </w:style>
  <w:style w:type="character" w:styleId="FootnoteReference">
    <w:name w:val="footnote reference"/>
    <w:uiPriority w:val="99"/>
    <w:semiHidden/>
    <w:rsid w:val="00D60081"/>
    <w:rPr>
      <w:rFonts w:ascii="Arial Bold" w:hAnsi="Arial Bold"/>
      <w:b/>
      <w:sz w:val="18"/>
      <w:szCs w:val="18"/>
      <w:vertAlign w:val="superscript"/>
    </w:rPr>
  </w:style>
  <w:style w:type="paragraph" w:styleId="FootnoteText">
    <w:name w:val="footnote text"/>
    <w:basedOn w:val="Normal"/>
    <w:uiPriority w:val="99"/>
    <w:rsid w:val="00E318B7"/>
    <w:pPr>
      <w:spacing w:before="240"/>
    </w:pPr>
    <w:rPr>
      <w:i/>
      <w:sz w:val="16"/>
      <w:szCs w:val="16"/>
    </w:rPr>
  </w:style>
  <w:style w:type="paragraph" w:styleId="MacroText">
    <w:name w:val="macro"/>
    <w:link w:val="MacroTextChar"/>
    <w:uiPriority w:val="99"/>
    <w:semiHidden/>
    <w:unhideWhenUsed/>
    <w:rsid w:val="00BF0F53"/>
    <w:pPr>
      <w:tabs>
        <w:tab w:val="left" w:pos="480"/>
        <w:tab w:val="left" w:pos="960"/>
        <w:tab w:val="left" w:pos="1440"/>
        <w:tab w:val="left" w:pos="1920"/>
        <w:tab w:val="left" w:pos="2400"/>
        <w:tab w:val="left" w:pos="2880"/>
        <w:tab w:val="left" w:pos="3360"/>
        <w:tab w:val="left" w:pos="3840"/>
        <w:tab w:val="left" w:pos="4320"/>
      </w:tabs>
      <w:spacing w:before="120" w:after="120"/>
    </w:pPr>
    <w:rPr>
      <w:rFonts w:ascii="Courier New" w:hAnsi="Courier New" w:cs="Courier New"/>
      <w:lang w:eastAsia="en-GB"/>
    </w:rPr>
  </w:style>
  <w:style w:type="character" w:customStyle="1" w:styleId="MacroTextChar">
    <w:name w:val="Macro Text Char"/>
    <w:link w:val="MacroText"/>
    <w:uiPriority w:val="99"/>
    <w:semiHidden/>
    <w:rsid w:val="000E0AF2"/>
    <w:rPr>
      <w:rFonts w:ascii="Courier New" w:hAnsi="Courier New" w:cs="Courier New"/>
      <w:lang w:eastAsia="en-GB"/>
    </w:rPr>
  </w:style>
  <w:style w:type="paragraph" w:customStyle="1" w:styleId="CS-RFPBodyText">
    <w:name w:val="CS-RFP Body Text"/>
    <w:basedOn w:val="CS-IBMResponseText"/>
    <w:link w:val="CS-RFPBodyTextChar"/>
    <w:qFormat/>
    <w:rsid w:val="00464519"/>
    <w:rPr>
      <w:color w:val="0070C0"/>
    </w:rPr>
  </w:style>
  <w:style w:type="paragraph" w:customStyle="1" w:styleId="CS-RFPBullet1">
    <w:name w:val="CS-RFP Bullet 1"/>
    <w:basedOn w:val="CS-IBMBullet1"/>
    <w:link w:val="CS-RFPBullet1Char"/>
    <w:qFormat/>
    <w:rsid w:val="00464519"/>
    <w:pPr>
      <w:numPr>
        <w:numId w:val="6"/>
      </w:numPr>
    </w:pPr>
    <w:rPr>
      <w:color w:val="0070C0"/>
    </w:rPr>
  </w:style>
  <w:style w:type="paragraph" w:customStyle="1" w:styleId="CS-RFPBullet2">
    <w:name w:val="CS-RFP Bullet 2"/>
    <w:basedOn w:val="CS-RFPBullet1"/>
    <w:link w:val="CS-RFPBullet2Char"/>
    <w:qFormat/>
    <w:rsid w:val="00464519"/>
    <w:pPr>
      <w:numPr>
        <w:numId w:val="9"/>
      </w:numPr>
      <w:ind w:left="714" w:hanging="357"/>
    </w:pPr>
  </w:style>
  <w:style w:type="paragraph" w:customStyle="1" w:styleId="CS-RFPBullet3">
    <w:name w:val="CS-RFP Bullet 3"/>
    <w:basedOn w:val="CS-RFPBullet2"/>
    <w:link w:val="CS-RFPBullet3Char"/>
    <w:qFormat/>
    <w:rsid w:val="00B03463"/>
    <w:pPr>
      <w:numPr>
        <w:numId w:val="8"/>
      </w:numPr>
    </w:pPr>
  </w:style>
  <w:style w:type="paragraph" w:customStyle="1" w:styleId="CS-RFPBullet4">
    <w:name w:val="CS-RFP Bullet 4"/>
    <w:basedOn w:val="CS-RFPBullet3"/>
    <w:link w:val="CS-RFPBullet4Char"/>
    <w:qFormat/>
    <w:rsid w:val="00B03463"/>
    <w:pPr>
      <w:numPr>
        <w:numId w:val="10"/>
      </w:numPr>
    </w:pPr>
  </w:style>
  <w:style w:type="paragraph" w:customStyle="1" w:styleId="CS-RFPBullet5">
    <w:name w:val="CS-RFP Bullet 5"/>
    <w:basedOn w:val="CS-RFPBullet4"/>
    <w:link w:val="CS-RFPBullet5Char"/>
    <w:qFormat/>
    <w:rsid w:val="00464519"/>
    <w:pPr>
      <w:numPr>
        <w:numId w:val="5"/>
      </w:numPr>
    </w:pPr>
  </w:style>
  <w:style w:type="paragraph" w:customStyle="1" w:styleId="DividerPageText">
    <w:name w:val="Divider Page Text"/>
    <w:basedOn w:val="Normal"/>
    <w:uiPriority w:val="99"/>
    <w:qFormat/>
    <w:rsid w:val="00A56FE9"/>
    <w:pPr>
      <w:spacing w:before="120" w:after="120"/>
      <w:ind w:left="90" w:hanging="90"/>
      <w:jc w:val="center"/>
    </w:pPr>
    <w:rPr>
      <w:rFonts w:ascii="Calibri Light" w:hAnsi="Calibri Light" w:cs="Arial"/>
      <w:color w:val="FFFFFF"/>
      <w:sz w:val="64"/>
      <w:szCs w:val="64"/>
    </w:rPr>
  </w:style>
  <w:style w:type="paragraph" w:customStyle="1" w:styleId="CS-ThemeStatementText">
    <w:name w:val="CS-Theme Statement Text"/>
    <w:basedOn w:val="Normal"/>
    <w:qFormat/>
    <w:rsid w:val="001B3A39"/>
    <w:pPr>
      <w:spacing w:before="240" w:after="0"/>
      <w:jc w:val="center"/>
    </w:pPr>
    <w:rPr>
      <w:rFonts w:cs="Arial"/>
      <w:i/>
      <w:iCs/>
      <w:color w:val="348180"/>
      <w:sz w:val="28"/>
      <w:szCs w:val="25"/>
    </w:rPr>
  </w:style>
  <w:style w:type="paragraph" w:customStyle="1" w:styleId="CS-IBMTableText">
    <w:name w:val="CS-IBM Table Text"/>
    <w:basedOn w:val="CS-IBMResponseText"/>
    <w:qFormat/>
    <w:rsid w:val="00464519"/>
    <w:pPr>
      <w:spacing w:before="60" w:after="60"/>
    </w:pPr>
    <w:rPr>
      <w:color w:val="000000" w:themeColor="text1"/>
    </w:rPr>
  </w:style>
  <w:style w:type="paragraph" w:customStyle="1" w:styleId="CS-IBMTableBullet">
    <w:name w:val="CS-IBM Table Bullet"/>
    <w:basedOn w:val="CS-IBMBullet1"/>
    <w:qFormat/>
    <w:rsid w:val="00464519"/>
    <w:pPr>
      <w:numPr>
        <w:numId w:val="16"/>
      </w:numPr>
      <w:ind w:left="357" w:hanging="357"/>
    </w:pPr>
  </w:style>
  <w:style w:type="character" w:styleId="CommentReference">
    <w:name w:val="annotation reference"/>
    <w:uiPriority w:val="99"/>
    <w:semiHidden/>
    <w:unhideWhenUsed/>
    <w:rsid w:val="00B13498"/>
    <w:rPr>
      <w:sz w:val="18"/>
      <w:szCs w:val="18"/>
    </w:rPr>
  </w:style>
  <w:style w:type="paragraph" w:styleId="CommentText">
    <w:name w:val="annotation text"/>
    <w:basedOn w:val="Normal"/>
    <w:link w:val="CommentTextChar"/>
    <w:uiPriority w:val="99"/>
    <w:unhideWhenUsed/>
    <w:rsid w:val="00B13498"/>
    <w:rPr>
      <w:sz w:val="24"/>
      <w:szCs w:val="24"/>
    </w:rPr>
  </w:style>
  <w:style w:type="character" w:customStyle="1" w:styleId="CommentTextChar">
    <w:name w:val="Comment Text Char"/>
    <w:link w:val="CommentText"/>
    <w:uiPriority w:val="99"/>
    <w:rsid w:val="000E0AF2"/>
    <w:rPr>
      <w:rFonts w:ascii="Arial" w:hAnsi="Arial"/>
      <w:color w:val="42474C"/>
      <w:sz w:val="24"/>
      <w:szCs w:val="24"/>
      <w:lang w:eastAsia="en-GB"/>
    </w:rPr>
  </w:style>
  <w:style w:type="paragraph" w:styleId="CommentSubject">
    <w:name w:val="annotation subject"/>
    <w:basedOn w:val="CommentText"/>
    <w:next w:val="CommentText"/>
    <w:link w:val="CommentSubjectChar"/>
    <w:uiPriority w:val="99"/>
    <w:semiHidden/>
    <w:unhideWhenUsed/>
    <w:rsid w:val="00B13498"/>
    <w:rPr>
      <w:b/>
      <w:bCs/>
      <w:sz w:val="20"/>
      <w:szCs w:val="20"/>
    </w:rPr>
  </w:style>
  <w:style w:type="character" w:customStyle="1" w:styleId="CommentSubjectChar">
    <w:name w:val="Comment Subject Char"/>
    <w:link w:val="CommentSubject"/>
    <w:uiPriority w:val="99"/>
    <w:semiHidden/>
    <w:rsid w:val="000E0AF2"/>
    <w:rPr>
      <w:rFonts w:ascii="Arial" w:hAnsi="Arial"/>
      <w:b/>
      <w:bCs/>
      <w:color w:val="42474C"/>
      <w:lang w:eastAsia="en-GB"/>
    </w:rPr>
  </w:style>
  <w:style w:type="paragraph" w:styleId="BalloonText">
    <w:name w:val="Balloon Text"/>
    <w:basedOn w:val="Normal"/>
    <w:link w:val="BalloonTextChar"/>
    <w:uiPriority w:val="99"/>
    <w:semiHidden/>
    <w:unhideWhenUsed/>
    <w:rsid w:val="00B13498"/>
    <w:pPr>
      <w:spacing w:before="0" w:after="0"/>
    </w:pPr>
    <w:rPr>
      <w:rFonts w:ascii="Times New Roman" w:hAnsi="Times New Roman"/>
      <w:sz w:val="18"/>
      <w:szCs w:val="18"/>
    </w:rPr>
  </w:style>
  <w:style w:type="character" w:customStyle="1" w:styleId="BalloonTextChar">
    <w:name w:val="Balloon Text Char"/>
    <w:link w:val="BalloonText"/>
    <w:uiPriority w:val="99"/>
    <w:semiHidden/>
    <w:rsid w:val="000E0AF2"/>
    <w:rPr>
      <w:color w:val="42474C"/>
      <w:sz w:val="18"/>
      <w:szCs w:val="18"/>
      <w:lang w:eastAsia="en-GB"/>
    </w:rPr>
  </w:style>
  <w:style w:type="paragraph" w:styleId="TOCHeading">
    <w:name w:val="TOC Heading"/>
    <w:basedOn w:val="Heading1"/>
    <w:next w:val="Normal"/>
    <w:uiPriority w:val="99"/>
    <w:unhideWhenUsed/>
    <w:qFormat/>
    <w:rsid w:val="0033139A"/>
    <w:pPr>
      <w:keepLines/>
      <w:pageBreakBefore w:val="0"/>
      <w:tabs>
        <w:tab w:val="clear" w:pos="0"/>
        <w:tab w:val="clear" w:pos="720"/>
      </w:tabs>
      <w:spacing w:before="480" w:after="0" w:line="276" w:lineRule="auto"/>
      <w:outlineLvl w:val="9"/>
    </w:pPr>
    <w:rPr>
      <w:rFonts w:ascii="Cambria" w:hAnsi="Cambria" w:cs="Times New Roman"/>
      <w:b w:val="0"/>
      <w:bCs/>
      <w:color w:val="002F4E"/>
      <w:sz w:val="28"/>
      <w:szCs w:val="28"/>
      <w:lang w:eastAsia="ja-JP"/>
    </w:rPr>
  </w:style>
  <w:style w:type="paragraph" w:customStyle="1" w:styleId="CS-RFPNumber4">
    <w:name w:val="CS-RFP Number 4"/>
    <w:basedOn w:val="CS-RFPNumber3"/>
    <w:link w:val="CS-RFPNumber4Char"/>
    <w:qFormat/>
    <w:rsid w:val="00B03463"/>
    <w:pPr>
      <w:ind w:left="1434"/>
    </w:pPr>
  </w:style>
  <w:style w:type="paragraph" w:styleId="ListBullet">
    <w:name w:val="List Bullet"/>
    <w:basedOn w:val="Normal"/>
    <w:uiPriority w:val="99"/>
    <w:semiHidden/>
    <w:unhideWhenUsed/>
    <w:qFormat/>
    <w:rsid w:val="009A2739"/>
    <w:pPr>
      <w:numPr>
        <w:numId w:val="7"/>
      </w:numPr>
      <w:contextualSpacing/>
    </w:pPr>
  </w:style>
  <w:style w:type="paragraph" w:customStyle="1" w:styleId="CS-RFPNumber1">
    <w:name w:val="CS-RFP Number 1"/>
    <w:basedOn w:val="CS-IBMNumber1"/>
    <w:link w:val="CS-RFPNumber1Char"/>
    <w:autoRedefine/>
    <w:qFormat/>
    <w:rsid w:val="00B03463"/>
    <w:rPr>
      <w:color w:val="0070C0"/>
    </w:rPr>
  </w:style>
  <w:style w:type="character" w:customStyle="1" w:styleId="CS-RFPNumber4Char">
    <w:name w:val="CS-RFP Number 4 Char"/>
    <w:link w:val="CS-RFPNumber4"/>
    <w:rsid w:val="00B03463"/>
    <w:rPr>
      <w:rFonts w:ascii="Arial" w:hAnsi="Arial" w:cs="Arial"/>
      <w:color w:val="0070C0"/>
      <w:sz w:val="22"/>
      <w:szCs w:val="21"/>
      <w:lang w:eastAsia="en-GB"/>
    </w:rPr>
  </w:style>
  <w:style w:type="paragraph" w:customStyle="1" w:styleId="CS-RFPNumber2">
    <w:name w:val="CS-RFP Number 2"/>
    <w:basedOn w:val="CS-RFPNumber1"/>
    <w:link w:val="CS-RFPNumber2Char"/>
    <w:qFormat/>
    <w:rsid w:val="00B03463"/>
    <w:pPr>
      <w:ind w:left="714"/>
    </w:pPr>
  </w:style>
  <w:style w:type="character" w:customStyle="1" w:styleId="CS-RFPNumber1Char">
    <w:name w:val="CS-RFP Number 1 Char"/>
    <w:link w:val="CS-RFPNumber1"/>
    <w:rsid w:val="00B03463"/>
    <w:rPr>
      <w:rFonts w:ascii="Arial" w:hAnsi="Arial" w:cs="Arial"/>
      <w:color w:val="0070C0"/>
      <w:sz w:val="22"/>
      <w:szCs w:val="21"/>
      <w:lang w:eastAsia="en-GB"/>
    </w:rPr>
  </w:style>
  <w:style w:type="paragraph" w:customStyle="1" w:styleId="CS-RFPNumber3">
    <w:name w:val="CS-RFP Number 3"/>
    <w:basedOn w:val="CS-RFPNumber2"/>
    <w:link w:val="CS-RFPNumber3Char"/>
    <w:qFormat/>
    <w:rsid w:val="00B03463"/>
    <w:pPr>
      <w:ind w:left="1077"/>
    </w:pPr>
  </w:style>
  <w:style w:type="character" w:customStyle="1" w:styleId="CS-RFPNumber2Char">
    <w:name w:val="CS-RFP Number 2 Char"/>
    <w:link w:val="CS-RFPNumber2"/>
    <w:rsid w:val="00B03463"/>
    <w:rPr>
      <w:rFonts w:ascii="Arial" w:hAnsi="Arial" w:cs="Arial"/>
      <w:color w:val="0070C0"/>
      <w:sz w:val="22"/>
      <w:szCs w:val="21"/>
      <w:lang w:eastAsia="en-GB"/>
    </w:rPr>
  </w:style>
  <w:style w:type="paragraph" w:customStyle="1" w:styleId="CS-RFPNumber5">
    <w:name w:val="CS-RFP Number 5"/>
    <w:basedOn w:val="CS-RFPNumber4"/>
    <w:link w:val="CS-RFPNumber5Char"/>
    <w:qFormat/>
    <w:rsid w:val="00B03463"/>
    <w:pPr>
      <w:ind w:left="1707" w:hanging="272"/>
    </w:pPr>
  </w:style>
  <w:style w:type="character" w:customStyle="1" w:styleId="CS-RFPNumber3Char">
    <w:name w:val="CS-RFP Number 3 Char"/>
    <w:link w:val="CS-RFPNumber3"/>
    <w:rsid w:val="00B03463"/>
    <w:rPr>
      <w:rFonts w:ascii="Arial" w:hAnsi="Arial" w:cs="Arial"/>
      <w:color w:val="0070C0"/>
      <w:sz w:val="22"/>
      <w:szCs w:val="21"/>
      <w:lang w:eastAsia="en-GB"/>
    </w:rPr>
  </w:style>
  <w:style w:type="character" w:customStyle="1" w:styleId="CS-RFPNumber5Char">
    <w:name w:val="CS-RFP Number 5 Char"/>
    <w:link w:val="CS-RFPNumber5"/>
    <w:rsid w:val="00B03463"/>
    <w:rPr>
      <w:rFonts w:ascii="Arial" w:hAnsi="Arial" w:cs="Arial"/>
      <w:color w:val="0070C0"/>
      <w:sz w:val="22"/>
      <w:szCs w:val="21"/>
      <w:lang w:eastAsia="en-GB"/>
    </w:rPr>
  </w:style>
  <w:style w:type="paragraph" w:customStyle="1" w:styleId="CS-IBMBullet1">
    <w:name w:val="CS- IBM Bullet 1"/>
    <w:basedOn w:val="CS-IBMResponseText"/>
    <w:link w:val="CS-IBMBullet1Char"/>
    <w:qFormat/>
    <w:rsid w:val="00ED06D6"/>
    <w:pPr>
      <w:numPr>
        <w:numId w:val="11"/>
      </w:numPr>
      <w:spacing w:before="60" w:after="60"/>
    </w:pPr>
    <w:rPr>
      <w:color w:val="000000" w:themeColor="text1"/>
    </w:rPr>
  </w:style>
  <w:style w:type="paragraph" w:customStyle="1" w:styleId="CS-IBMBullet2">
    <w:name w:val="CS-IBM Bullet 2"/>
    <w:basedOn w:val="CS-IBMBullet1"/>
    <w:link w:val="CS-IBMBullet2Char"/>
    <w:qFormat/>
    <w:rsid w:val="00ED06D6"/>
    <w:pPr>
      <w:numPr>
        <w:numId w:val="12"/>
      </w:numPr>
      <w:ind w:left="714" w:hanging="357"/>
    </w:pPr>
  </w:style>
  <w:style w:type="character" w:customStyle="1" w:styleId="CS-RFPBullet1Char">
    <w:name w:val="CS-RFP Bullet 1 Char"/>
    <w:link w:val="CS-RFPBullet1"/>
    <w:rsid w:val="00464519"/>
    <w:rPr>
      <w:rFonts w:ascii="Century Gothic" w:hAnsi="Century Gothic" w:cs="Arial"/>
      <w:color w:val="0070C0"/>
      <w:sz w:val="22"/>
      <w:szCs w:val="21"/>
      <w:lang w:eastAsia="en-GB"/>
    </w:rPr>
  </w:style>
  <w:style w:type="character" w:customStyle="1" w:styleId="CS-IBMBullet1Char">
    <w:name w:val="CS- IBM Bullet 1 Char"/>
    <w:link w:val="CS-IBMBullet1"/>
    <w:rsid w:val="00ED06D6"/>
    <w:rPr>
      <w:rFonts w:ascii="Century Gothic" w:hAnsi="Century Gothic" w:cs="Arial"/>
      <w:color w:val="000000" w:themeColor="text1"/>
      <w:sz w:val="22"/>
      <w:szCs w:val="21"/>
      <w:lang w:eastAsia="en-GB"/>
    </w:rPr>
  </w:style>
  <w:style w:type="paragraph" w:customStyle="1" w:styleId="CS-IBMBullet3">
    <w:name w:val="CS-IBM Bullet 3"/>
    <w:basedOn w:val="CS-IBMBullet2"/>
    <w:link w:val="CS-IBMBullet3Char"/>
    <w:qFormat/>
    <w:rsid w:val="00ED06D6"/>
    <w:pPr>
      <w:numPr>
        <w:numId w:val="13"/>
      </w:numPr>
    </w:pPr>
  </w:style>
  <w:style w:type="character" w:customStyle="1" w:styleId="CS-RFPBullet2Char">
    <w:name w:val="CS-RFP Bullet 2 Char"/>
    <w:link w:val="CS-RFPBullet2"/>
    <w:rsid w:val="00464519"/>
    <w:rPr>
      <w:rFonts w:ascii="Century Gothic" w:hAnsi="Century Gothic" w:cs="Arial"/>
      <w:color w:val="0070C0"/>
      <w:sz w:val="22"/>
      <w:szCs w:val="21"/>
      <w:lang w:eastAsia="en-GB"/>
    </w:rPr>
  </w:style>
  <w:style w:type="character" w:customStyle="1" w:styleId="CS-IBMBullet2Char">
    <w:name w:val="CS-IBM Bullet 2 Char"/>
    <w:link w:val="CS-IBMBullet2"/>
    <w:rsid w:val="00ED06D6"/>
    <w:rPr>
      <w:rFonts w:ascii="Century Gothic" w:hAnsi="Century Gothic" w:cs="Arial"/>
      <w:color w:val="000000" w:themeColor="text1"/>
      <w:sz w:val="22"/>
      <w:szCs w:val="21"/>
      <w:lang w:eastAsia="en-GB"/>
    </w:rPr>
  </w:style>
  <w:style w:type="paragraph" w:customStyle="1" w:styleId="CS-IBMBullet4">
    <w:name w:val="CS-IBM Bullet 4"/>
    <w:basedOn w:val="CS-IBMBullet3"/>
    <w:link w:val="CS-IBMBullet4Char"/>
    <w:qFormat/>
    <w:rsid w:val="00ED06D6"/>
    <w:pPr>
      <w:numPr>
        <w:numId w:val="19"/>
      </w:numPr>
    </w:pPr>
  </w:style>
  <w:style w:type="character" w:customStyle="1" w:styleId="CS-RFPBullet3Char">
    <w:name w:val="CS-RFP Bullet 3 Char"/>
    <w:link w:val="CS-RFPBullet3"/>
    <w:rsid w:val="00464519"/>
    <w:rPr>
      <w:rFonts w:ascii="Century Gothic" w:hAnsi="Century Gothic" w:cs="Arial"/>
      <w:color w:val="0070C0"/>
      <w:sz w:val="22"/>
      <w:szCs w:val="21"/>
      <w:lang w:eastAsia="en-GB"/>
    </w:rPr>
  </w:style>
  <w:style w:type="character" w:customStyle="1" w:styleId="CS-IBMBullet3Char">
    <w:name w:val="CS-IBM Bullet 3 Char"/>
    <w:link w:val="CS-IBMBullet3"/>
    <w:rsid w:val="00ED06D6"/>
    <w:rPr>
      <w:rFonts w:ascii="Century Gothic" w:hAnsi="Century Gothic" w:cs="Arial"/>
      <w:color w:val="000000" w:themeColor="text1"/>
      <w:sz w:val="22"/>
      <w:szCs w:val="21"/>
      <w:lang w:eastAsia="en-GB"/>
    </w:rPr>
  </w:style>
  <w:style w:type="paragraph" w:customStyle="1" w:styleId="CS-IBMBullet5">
    <w:name w:val="CS-IBM Bullet 5"/>
    <w:basedOn w:val="CS-IBMBullet4"/>
    <w:link w:val="CS-IBMBullet5Char"/>
    <w:qFormat/>
    <w:rsid w:val="00ED06D6"/>
    <w:pPr>
      <w:numPr>
        <w:numId w:val="20"/>
      </w:numPr>
    </w:pPr>
  </w:style>
  <w:style w:type="character" w:customStyle="1" w:styleId="CS-RFPBullet4Char">
    <w:name w:val="CS-RFP Bullet 4 Char"/>
    <w:link w:val="CS-RFPBullet4"/>
    <w:rsid w:val="00464519"/>
    <w:rPr>
      <w:rFonts w:ascii="Century Gothic" w:hAnsi="Century Gothic" w:cs="Arial"/>
      <w:color w:val="0070C0"/>
      <w:sz w:val="22"/>
      <w:szCs w:val="21"/>
      <w:lang w:eastAsia="en-GB"/>
    </w:rPr>
  </w:style>
  <w:style w:type="character" w:customStyle="1" w:styleId="CS-IBMBullet4Char">
    <w:name w:val="CS-IBM Bullet 4 Char"/>
    <w:link w:val="CS-IBMBullet4"/>
    <w:rsid w:val="00ED06D6"/>
    <w:rPr>
      <w:rFonts w:ascii="Century Gothic" w:hAnsi="Century Gothic" w:cs="Arial"/>
      <w:color w:val="000000" w:themeColor="text1"/>
      <w:sz w:val="22"/>
      <w:szCs w:val="21"/>
      <w:lang w:eastAsia="en-GB"/>
    </w:rPr>
  </w:style>
  <w:style w:type="paragraph" w:customStyle="1" w:styleId="CS-IBMNumber1">
    <w:name w:val="CS-IBM Number 1"/>
    <w:basedOn w:val="CS-IBMResponseText"/>
    <w:link w:val="CS-IBMNumber1Char"/>
    <w:qFormat/>
    <w:rsid w:val="00ED06D6"/>
    <w:pPr>
      <w:spacing w:before="60" w:after="60"/>
      <w:ind w:left="357" w:hanging="357"/>
    </w:pPr>
    <w:rPr>
      <w:color w:val="000000" w:themeColor="text1"/>
    </w:rPr>
  </w:style>
  <w:style w:type="character" w:customStyle="1" w:styleId="CS-RFPBullet5Char">
    <w:name w:val="CS-RFP Bullet 5 Char"/>
    <w:link w:val="CS-RFPBullet5"/>
    <w:rsid w:val="00464519"/>
    <w:rPr>
      <w:rFonts w:ascii="Century Gothic" w:hAnsi="Century Gothic" w:cs="Arial"/>
      <w:color w:val="0070C0"/>
      <w:sz w:val="22"/>
      <w:szCs w:val="21"/>
      <w:lang w:eastAsia="en-GB"/>
    </w:rPr>
  </w:style>
  <w:style w:type="character" w:customStyle="1" w:styleId="CS-IBMBullet5Char">
    <w:name w:val="CS-IBM Bullet 5 Char"/>
    <w:link w:val="CS-IBMBullet5"/>
    <w:rsid w:val="00ED06D6"/>
    <w:rPr>
      <w:rFonts w:ascii="Century Gothic" w:hAnsi="Century Gothic" w:cs="Arial"/>
      <w:color w:val="000000" w:themeColor="text1"/>
      <w:sz w:val="22"/>
      <w:szCs w:val="21"/>
      <w:lang w:eastAsia="en-GB"/>
    </w:rPr>
  </w:style>
  <w:style w:type="paragraph" w:customStyle="1" w:styleId="CS-IBMNumber2">
    <w:name w:val="CS-IBM Number 2"/>
    <w:basedOn w:val="CS-IBMNumber1"/>
    <w:link w:val="CS-IBMNumber2Char"/>
    <w:qFormat/>
    <w:rsid w:val="00464519"/>
    <w:pPr>
      <w:ind w:left="714"/>
    </w:pPr>
  </w:style>
  <w:style w:type="character" w:customStyle="1" w:styleId="CS-IBMNumber1Char">
    <w:name w:val="CS-IBM Number 1 Char"/>
    <w:link w:val="CS-IBMNumber1"/>
    <w:rsid w:val="00ED06D6"/>
    <w:rPr>
      <w:rFonts w:ascii="Arial" w:hAnsi="Arial" w:cs="Arial"/>
      <w:color w:val="000000" w:themeColor="text1"/>
      <w:sz w:val="22"/>
      <w:szCs w:val="21"/>
      <w:lang w:eastAsia="en-GB"/>
    </w:rPr>
  </w:style>
  <w:style w:type="paragraph" w:customStyle="1" w:styleId="CS-IBMNumber3">
    <w:name w:val="CS-IBM Number 3"/>
    <w:basedOn w:val="CS-IBMNumber2"/>
    <w:link w:val="CS-IBMNumber3Char"/>
    <w:qFormat/>
    <w:rsid w:val="00464519"/>
    <w:pPr>
      <w:ind w:left="1077"/>
    </w:pPr>
  </w:style>
  <w:style w:type="character" w:customStyle="1" w:styleId="CS-IBMNumber2Char">
    <w:name w:val="CS-IBM Number 2 Char"/>
    <w:link w:val="CS-IBMNumber2"/>
    <w:rsid w:val="00464519"/>
    <w:rPr>
      <w:rFonts w:ascii="Arial" w:hAnsi="Arial" w:cs="Arial"/>
      <w:color w:val="000000" w:themeColor="text1"/>
      <w:sz w:val="22"/>
      <w:szCs w:val="21"/>
      <w:lang w:eastAsia="en-GB"/>
    </w:rPr>
  </w:style>
  <w:style w:type="paragraph" w:customStyle="1" w:styleId="CS-IBMNumber4">
    <w:name w:val="CS-IBM Number 4"/>
    <w:basedOn w:val="CS-IBMNumber3"/>
    <w:link w:val="CS-IBMNumber4Char"/>
    <w:qFormat/>
    <w:rsid w:val="00464519"/>
    <w:pPr>
      <w:ind w:left="1434"/>
    </w:pPr>
  </w:style>
  <w:style w:type="character" w:customStyle="1" w:styleId="CS-IBMNumber3Char">
    <w:name w:val="CS-IBM Number 3 Char"/>
    <w:link w:val="CS-IBMNumber3"/>
    <w:rsid w:val="00464519"/>
    <w:rPr>
      <w:rFonts w:ascii="Arial" w:hAnsi="Arial" w:cs="Arial"/>
      <w:color w:val="000000" w:themeColor="text1"/>
      <w:sz w:val="22"/>
      <w:szCs w:val="21"/>
      <w:lang w:eastAsia="en-GB"/>
    </w:rPr>
  </w:style>
  <w:style w:type="paragraph" w:customStyle="1" w:styleId="CS-IBMNumber5">
    <w:name w:val="CS-IBM Number 5"/>
    <w:basedOn w:val="CS-IBMNumber4"/>
    <w:link w:val="CS-IBMNumber5Char"/>
    <w:qFormat/>
    <w:rsid w:val="00464519"/>
    <w:pPr>
      <w:ind w:left="1707" w:hanging="272"/>
    </w:pPr>
  </w:style>
  <w:style w:type="character" w:customStyle="1" w:styleId="CS-IBMNumber4Char">
    <w:name w:val="CS-IBM Number 4 Char"/>
    <w:link w:val="CS-IBMNumber4"/>
    <w:rsid w:val="00464519"/>
    <w:rPr>
      <w:rFonts w:ascii="Arial" w:hAnsi="Arial" w:cs="Arial"/>
      <w:color w:val="000000" w:themeColor="text1"/>
      <w:sz w:val="22"/>
      <w:szCs w:val="21"/>
      <w:lang w:eastAsia="en-GB"/>
    </w:rPr>
  </w:style>
  <w:style w:type="character" w:customStyle="1" w:styleId="CS-IBMNumber5Char">
    <w:name w:val="CS-IBM Number 5 Char"/>
    <w:link w:val="CS-IBMNumber5"/>
    <w:rsid w:val="00464519"/>
    <w:rPr>
      <w:rFonts w:ascii="Arial" w:hAnsi="Arial" w:cs="Arial"/>
      <w:color w:val="000000" w:themeColor="text1"/>
      <w:sz w:val="22"/>
      <w:szCs w:val="21"/>
      <w:lang w:eastAsia="en-GB"/>
    </w:rPr>
  </w:style>
  <w:style w:type="character" w:customStyle="1" w:styleId="CS-RFPBodyTextChar">
    <w:name w:val="CS-RFP Body Text Char"/>
    <w:link w:val="CS-RFPBodyText"/>
    <w:rsid w:val="00464519"/>
    <w:rPr>
      <w:rFonts w:ascii="Arial" w:hAnsi="Arial" w:cs="Arial"/>
      <w:color w:val="0070C0"/>
      <w:sz w:val="22"/>
      <w:szCs w:val="21"/>
      <w:lang w:eastAsia="en-GB"/>
    </w:rPr>
  </w:style>
  <w:style w:type="paragraph" w:customStyle="1" w:styleId="CS-IBMTableBullet2">
    <w:name w:val="CS-IBM Table Bullet 2"/>
    <w:basedOn w:val="CS-IBMBullet2"/>
    <w:qFormat/>
    <w:rsid w:val="00806112"/>
    <w:pPr>
      <w:numPr>
        <w:numId w:val="17"/>
      </w:numPr>
      <w:ind w:left="714" w:hanging="357"/>
    </w:pPr>
  </w:style>
  <w:style w:type="character" w:customStyle="1" w:styleId="FooterChar">
    <w:name w:val="Footer Char"/>
    <w:basedOn w:val="DefaultParagraphFont"/>
    <w:link w:val="Footer"/>
    <w:uiPriority w:val="99"/>
    <w:rsid w:val="00D57F1D"/>
    <w:rPr>
      <w:rFonts w:ascii="Arial" w:hAnsi="Arial" w:cs="Arial"/>
      <w:noProof/>
      <w:color w:val="0E3152"/>
      <w:sz w:val="18"/>
      <w:szCs w:val="21"/>
      <w:lang w:eastAsia="en-GB"/>
    </w:rPr>
  </w:style>
  <w:style w:type="character" w:styleId="UnresolvedMention">
    <w:name w:val="Unresolved Mention"/>
    <w:basedOn w:val="DefaultParagraphFont"/>
    <w:uiPriority w:val="99"/>
    <w:semiHidden/>
    <w:unhideWhenUsed/>
    <w:rsid w:val="00F55693"/>
    <w:rPr>
      <w:color w:val="605E5C"/>
      <w:shd w:val="clear" w:color="auto" w:fill="E1DFDD"/>
    </w:rPr>
  </w:style>
  <w:style w:type="paragraph" w:customStyle="1" w:styleId="CS-IBMCoverLetterAddress">
    <w:name w:val="CS-IBM Cover Letter Address"/>
    <w:qFormat/>
    <w:rsid w:val="00ED06D6"/>
    <w:rPr>
      <w:rFonts w:ascii="Arial" w:eastAsiaTheme="minorHAnsi" w:hAnsi="Arial" w:cstheme="minorBidi"/>
      <w:color w:val="008ABF" w:themeColor="accent2"/>
      <w:sz w:val="14"/>
      <w:szCs w:val="14"/>
    </w:rPr>
  </w:style>
  <w:style w:type="paragraph" w:customStyle="1" w:styleId="CS-IBMResponseText">
    <w:name w:val="CS - IBM Response Text"/>
    <w:qFormat/>
    <w:rsid w:val="006565DC"/>
    <w:pPr>
      <w:spacing w:before="120" w:after="120"/>
    </w:pPr>
    <w:rPr>
      <w:rFonts w:ascii="Century Gothic" w:hAnsi="Century Gothic" w:cs="Arial"/>
      <w:color w:val="0D0D0D" w:themeColor="text1" w:themeTint="F2"/>
      <w:sz w:val="22"/>
      <w:szCs w:val="21"/>
      <w:lang w:eastAsia="en-GB"/>
    </w:rPr>
  </w:style>
  <w:style w:type="paragraph" w:customStyle="1" w:styleId="CS-IBMCoverLetterText">
    <w:name w:val="CS - IBM Cover Letter Text"/>
    <w:basedOn w:val="CS-IBMResponseText"/>
    <w:qFormat/>
    <w:rsid w:val="003E58D5"/>
    <w:rPr>
      <w:szCs w:val="20"/>
    </w:rPr>
  </w:style>
  <w:style w:type="paragraph" w:customStyle="1" w:styleId="CS-IBMCoverLetterBullet">
    <w:name w:val="CS - IBM Cover Letter Bullet"/>
    <w:basedOn w:val="CS-IBMCoverLetterText"/>
    <w:qFormat/>
    <w:rsid w:val="003E58D5"/>
    <w:pPr>
      <w:numPr>
        <w:numId w:val="15"/>
      </w:numPr>
      <w:spacing w:before="60" w:after="60"/>
      <w:ind w:left="357" w:hanging="357"/>
    </w:pPr>
  </w:style>
  <w:style w:type="paragraph" w:customStyle="1" w:styleId="CS-IBMFigureorTableCaption">
    <w:name w:val="CS-IBM Figure or Table Caption"/>
    <w:next w:val="CS-IBMResponseText"/>
    <w:qFormat/>
    <w:rsid w:val="003E58D5"/>
    <w:pPr>
      <w:spacing w:before="120" w:after="120"/>
      <w:jc w:val="center"/>
    </w:pPr>
    <w:rPr>
      <w:rFonts w:ascii="Century Gothic" w:hAnsi="Century Gothic" w:cs="Arial"/>
      <w:i/>
      <w:iCs/>
      <w:color w:val="000000" w:themeColor="text1"/>
      <w:sz w:val="18"/>
      <w:szCs w:val="18"/>
      <w:lang w:eastAsia="en-GB"/>
    </w:rPr>
  </w:style>
  <w:style w:type="paragraph" w:customStyle="1" w:styleId="CS-IBMCalloutTitle">
    <w:name w:val="CS-IBM Callout Title"/>
    <w:basedOn w:val="CS-IBMResponseText"/>
    <w:qFormat/>
    <w:rsid w:val="00ED06D6"/>
    <w:pPr>
      <w:spacing w:before="60"/>
      <w:jc w:val="center"/>
    </w:pPr>
    <w:rPr>
      <w:rFonts w:cstheme="minorBidi"/>
      <w:b/>
      <w:bCs/>
      <w:i/>
      <w:iCs/>
      <w:color w:val="000000" w:themeColor="text1"/>
      <w:kern w:val="24"/>
      <w:szCs w:val="24"/>
    </w:rPr>
  </w:style>
  <w:style w:type="paragraph" w:customStyle="1" w:styleId="CS-IBMCalloutBullet">
    <w:name w:val="CS-IBM Callout Bullet"/>
    <w:basedOn w:val="CS-IBMBullet1"/>
    <w:qFormat/>
    <w:rsid w:val="00ED06D6"/>
    <w:pPr>
      <w:numPr>
        <w:numId w:val="14"/>
      </w:numPr>
      <w:ind w:left="357" w:hanging="357"/>
    </w:pPr>
    <w:rPr>
      <w:rFonts w:cstheme="minorBidi"/>
      <w:iCs/>
      <w:kern w:val="24"/>
    </w:rPr>
  </w:style>
  <w:style w:type="paragraph" w:customStyle="1" w:styleId="CS-IBMCalloutText">
    <w:name w:val="CS-IBM Callout Text"/>
    <w:basedOn w:val="CS-IBMResponseText"/>
    <w:qFormat/>
    <w:rsid w:val="00ED06D6"/>
    <w:pPr>
      <w:spacing w:before="60" w:after="60"/>
    </w:pPr>
  </w:style>
  <w:style w:type="paragraph" w:customStyle="1" w:styleId="CS-IBMTableBullet3">
    <w:name w:val="CS-IBM Table Bullet 3"/>
    <w:basedOn w:val="CS-IBMBullet3"/>
    <w:qFormat/>
    <w:rsid w:val="00806112"/>
    <w:pPr>
      <w:numPr>
        <w:numId w:val="18"/>
      </w:numPr>
      <w:ind w:left="1071" w:hanging="357"/>
    </w:pPr>
  </w:style>
  <w:style w:type="paragraph" w:customStyle="1" w:styleId="CS-IBMSub-ColumnHeader">
    <w:name w:val="CS-IBM Sub-Column Header"/>
    <w:basedOn w:val="CS-IBMTableText"/>
    <w:uiPriority w:val="99"/>
    <w:qFormat/>
    <w:rsid w:val="00464519"/>
    <w:pPr>
      <w:jc w:val="center"/>
    </w:pPr>
    <w:rPr>
      <w:b/>
      <w:bCs/>
    </w:rPr>
  </w:style>
  <w:style w:type="paragraph" w:styleId="Revision">
    <w:name w:val="Revision"/>
    <w:hidden/>
    <w:uiPriority w:val="99"/>
    <w:semiHidden/>
    <w:rsid w:val="00D11847"/>
    <w:rPr>
      <w:rFonts w:ascii="Arial" w:hAnsi="Arial"/>
      <w:color w:val="000000" w:themeColor="text1"/>
      <w:sz w:val="22"/>
      <w:szCs w:val="22"/>
      <w:lang w:eastAsia="en-GB"/>
    </w:rPr>
  </w:style>
  <w:style w:type="paragraph" w:styleId="Caption">
    <w:name w:val="caption"/>
    <w:basedOn w:val="Normal"/>
    <w:next w:val="Normal"/>
    <w:unhideWhenUsed/>
    <w:qFormat/>
    <w:rsid w:val="00F05C9E"/>
    <w:pPr>
      <w:spacing w:before="0" w:after="200"/>
    </w:pPr>
    <w:rPr>
      <w:i/>
      <w:iCs/>
      <w:color w:val="000000" w:themeColor="text2"/>
      <w:sz w:val="18"/>
      <w:szCs w:val="18"/>
    </w:rPr>
  </w:style>
  <w:style w:type="paragraph" w:customStyle="1" w:styleId="CS-IBMFooter">
    <w:name w:val="CS-IBM Footer"/>
    <w:basedOn w:val="CS-IBMHeader"/>
    <w:uiPriority w:val="99"/>
    <w:qFormat/>
    <w:rsid w:val="003E58D5"/>
    <w:pPr>
      <w:pBdr>
        <w:top w:val="single" w:sz="4" w:space="10" w:color="auto"/>
        <w:bottom w:val="none" w:sz="0" w:space="0" w:color="auto"/>
      </w:pBdr>
      <w:spacing w:before="240"/>
    </w:pPr>
    <w:rPr>
      <w:szCs w:val="18"/>
    </w:rPr>
  </w:style>
  <w:style w:type="character" w:customStyle="1" w:styleId="Heading3Char">
    <w:name w:val="Heading 3 Char"/>
    <w:aliases w:val="CS IBM-Heading 3 Char"/>
    <w:basedOn w:val="DefaultParagraphFont"/>
    <w:link w:val="Heading3"/>
    <w:uiPriority w:val="9"/>
    <w:rsid w:val="00511DCC"/>
    <w:rPr>
      <w:rFonts w:ascii="Century Gothic" w:hAnsi="Century Gothic" w:cs="Arial"/>
      <w:color w:val="106288"/>
      <w:sz w:val="32"/>
      <w:szCs w:val="36"/>
      <w:lang w:eastAsia="en-GB"/>
    </w:rPr>
  </w:style>
  <w:style w:type="paragraph" w:styleId="ListParagraph">
    <w:name w:val="List Paragraph"/>
    <w:basedOn w:val="Normal"/>
    <w:uiPriority w:val="34"/>
    <w:qFormat/>
    <w:rsid w:val="00511DCC"/>
    <w:pPr>
      <w:ind w:left="720"/>
      <w:contextualSpacing/>
    </w:pPr>
  </w:style>
  <w:style w:type="character" w:styleId="Emphasis">
    <w:name w:val="Emphasis"/>
    <w:basedOn w:val="DefaultParagraphFont"/>
    <w:uiPriority w:val="20"/>
    <w:qFormat/>
    <w:rsid w:val="00511DCC"/>
    <w:rPr>
      <w:i/>
      <w:iCs/>
    </w:rPr>
  </w:style>
  <w:style w:type="character" w:styleId="Mention">
    <w:name w:val="Mention"/>
    <w:basedOn w:val="DefaultParagraphFont"/>
    <w:uiPriority w:val="99"/>
    <w:unhideWhenUsed/>
    <w:rsid w:val="001D58E7"/>
    <w:rPr>
      <w:color w:val="2B579A"/>
      <w:shd w:val="clear" w:color="auto" w:fill="E1DFDD"/>
    </w:rPr>
  </w:style>
  <w:style w:type="table" w:styleId="PlainTable3">
    <w:name w:val="Plain Table 3"/>
    <w:basedOn w:val="TableNormal"/>
    <w:uiPriority w:val="43"/>
    <w:rsid w:val="002326EC"/>
    <w:tblPr>
      <w:tblInd w:w="0" w:type="nil"/>
      <w:tblCellMar>
        <w:left w:w="0" w:type="dxa"/>
        <w:right w:w="0" w:type="dxa"/>
      </w:tblCellMar>
    </w:tblPr>
    <w:tblStylePr w:type="firstRow">
      <w:rPr>
        <w:b/>
        <w:bCs/>
        <w:caps/>
      </w:rPr>
    </w:tblStylePr>
    <w:tblStylePr w:type="lastRow">
      <w:rPr>
        <w:b/>
        <w:bCs/>
        <w:caps/>
      </w:rPr>
    </w:tblStylePr>
    <w:tblStylePr w:type="firstCol">
      <w:rPr>
        <w:b/>
        <w:bCs/>
        <w:caps/>
      </w:rPr>
    </w:tblStylePr>
    <w:tblStylePr w:type="lastCol">
      <w:rPr>
        <w:b/>
        <w:bCs/>
        <w:caps/>
      </w:rPr>
    </w:tblStylePr>
  </w:style>
  <w:style w:type="table" w:styleId="PlainTable4">
    <w:name w:val="Plain Table 4"/>
    <w:basedOn w:val="TableNormal"/>
    <w:uiPriority w:val="44"/>
    <w:rsid w:val="002326EC"/>
    <w:tblPr>
      <w:tblInd w:w="0" w:type="nil"/>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table" w:styleId="PlainTable5">
    <w:name w:val="Plain Table 5"/>
    <w:basedOn w:val="TableNormal"/>
    <w:uiPriority w:val="45"/>
    <w:rsid w:val="008A59B3"/>
    <w:tblPr>
      <w:tblInd w:w="0" w:type="nil"/>
      <w:tblCellMar>
        <w:left w:w="0" w:type="dxa"/>
        <w:right w:w="0" w:type="dxa"/>
      </w:tblCellMar>
    </w:tbl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BasicTable1">
    <w:name w:val="Basic Table1"/>
    <w:basedOn w:val="TableNormal"/>
    <w:rsid w:val="00FF3146"/>
    <w:pPr>
      <w:widowControl w:val="0"/>
      <w:adjustRightInd w:val="0"/>
      <w:spacing w:before="120" w:after="120"/>
      <w:textAlignment w:val="baseline"/>
    </w:pPr>
    <w:rPr>
      <w:rFonts w:ascii="Arial" w:eastAsia="MS Mincho" w:hAnsi="Arial"/>
      <w:sz w:val="18"/>
    </w:rPr>
    <w:tblPr>
      <w:tblStyleRowBandSize w:val="1"/>
      <w:tblStyleColBandSize w:val="1"/>
      <w:tblInd w:w="0" w:type="nil"/>
      <w:tblCellMar>
        <w:left w:w="0" w:type="dxa"/>
        <w:right w:w="0" w:type="dxa"/>
      </w:tblCellMar>
    </w:tblPr>
    <w:tcPr>
      <w:tcBorders>
        <w:top w:val="none" w:sz="0" w:space="22" w:color="003A56" w:frame="1"/>
        <w:left w:val="nil"/>
        <w:bottom w:val="couponCutoutDots" w:sz="0" w:space="22" w:color="003A56" w:frame="1"/>
        <w:right w:val="nil"/>
        <w:insideH w:val="none" w:sz="0" w:space="26" w:color="auto" w:shadow="1"/>
        <w:insideV w:val="nil"/>
        <w:tl2br w:val="none" w:sz="0" w:space="26" w:color="auto" w:shadow="1"/>
        <w:tr2bl w:val="nil"/>
      </w:tcBorders>
      <w:shd w:val="clear" w:color="auto" w:fill="auto"/>
      <w:vAlign w:val="center"/>
    </w:tcPr>
    <w:tblStylePr w:type="firstRow">
      <w:rPr>
        <w:rFonts w:ascii="Bahnschrift SemiLight Condensed" w:hAnsi="Bahnschrift SemiLight Condensed"/>
        <w:b/>
        <w:bCs/>
        <w:i w:val="0"/>
        <w:color w:val="333333"/>
        <w:sz w:val="20"/>
      </w:rPr>
    </w:tblStylePr>
    <w:tblStylePr w:type="lastRow">
      <w:rPr>
        <w:rFonts w:ascii="Bahnschrift SemiLight Condensed" w:hAnsi="Bahnschrift SemiLight Condensed"/>
        <w:b/>
        <w:i w:val="0"/>
        <w:color w:val="auto"/>
        <w:sz w:val="20"/>
      </w:rPr>
    </w:tblStylePr>
    <w:tblStylePr w:type="neCell">
      <w:tblPr/>
      <w:tcPr>
        <w:tcBorders>
          <w:left w:val="nil"/>
        </w:tcBorders>
      </w:tcPr>
    </w:tblStylePr>
    <w:tblStylePr w:type="nwCell">
      <w:tblPr>
        <w:tblCellMar>
          <w:top w:w="0" w:type="dxa"/>
          <w:left w:w="0" w:type="dxa"/>
          <w:bottom w:w="0" w:type="dxa"/>
          <w:right w:w="0" w:type="dxa"/>
        </w:tblCellMar>
      </w:tblPr>
      <w:tcPr>
        <w:tcBorders>
          <w:right w:val="nil"/>
        </w:tcBorders>
      </w:tcPr>
    </w:tblStylePr>
    <w:tblStylePr w:type="swCell">
      <w:rPr>
        <w:rFonts w:ascii="Bahnschrift SemiLight Condensed" w:hAnsi="Bahnschrift SemiLight Condensed"/>
        <w:b/>
        <w:i/>
        <w:iCs/>
        <w:color w:val="auto"/>
        <w:sz w:val="20"/>
      </w:rPr>
      <w:tblPr>
        <w:tblCellMar>
          <w:top w:w="0" w:type="dxa"/>
          <w:left w:w="0" w:type="dxa"/>
          <w:bottom w:w="0" w:type="dxa"/>
          <w:right w:w="0" w:type="dxa"/>
        </w:tblCellMar>
      </w:tblPr>
      <w:tcPr>
        <w:tcBorders>
          <w:right w:val="nil"/>
          <w:tl2br w:val="none" w:sz="0" w:space="0" w:color="auto"/>
          <w:tr2bl w:val="none" w:sz="0" w:space="0" w:color="auto"/>
        </w:tcBorders>
      </w:tcPr>
    </w:tblStylePr>
  </w:style>
  <w:style w:type="paragraph" w:customStyle="1" w:styleId="CS-IBMHeading3">
    <w:name w:val="CS - IBM Heading 3"/>
    <w:next w:val="CS-IBMResponseText"/>
    <w:qFormat/>
    <w:rsid w:val="00FF3146"/>
    <w:pPr>
      <w:spacing w:before="240" w:after="120"/>
    </w:pPr>
    <w:rPr>
      <w:rFonts w:ascii="Arial" w:hAnsi="Arial" w:cs="Arial"/>
      <w:color w:val="106288"/>
      <w:sz w:val="32"/>
      <w:szCs w:val="36"/>
      <w:lang w:eastAsia="en-GB"/>
    </w:rPr>
  </w:style>
  <w:style w:type="paragraph" w:customStyle="1" w:styleId="TableParagraph">
    <w:name w:val="Table Paragraph"/>
    <w:basedOn w:val="Normal"/>
    <w:uiPriority w:val="1"/>
    <w:qFormat/>
    <w:rsid w:val="00FF3146"/>
    <w:pPr>
      <w:widowControl w:val="0"/>
      <w:autoSpaceDE w:val="0"/>
      <w:autoSpaceDN w:val="0"/>
      <w:spacing w:before="0" w:after="0"/>
    </w:pPr>
    <w:rPr>
      <w:rFonts w:ascii="Times New Roman" w:eastAsia="Century Gothic" w:hAnsi="Times New Roman" w:cs="Century Gothic"/>
      <w:color w:val="auto"/>
      <w:sz w:val="24"/>
      <w:szCs w:val="24"/>
      <w:lang w:eastAsia="en-US"/>
    </w:rPr>
  </w:style>
  <w:style w:type="table" w:styleId="GridTable1Light">
    <w:name w:val="Grid Table 1 Light"/>
    <w:basedOn w:val="TableNormal"/>
    <w:uiPriority w:val="46"/>
    <w:rsid w:val="00FF3146"/>
    <w:tblPr>
      <w:tblStyleRowBandSize w:val="1"/>
      <w:tblStyleColBandSize w:val="1"/>
      <w:tblInd w:w="0" w:type="nil"/>
      <w:tblCellMar>
        <w:left w:w="0" w:type="dxa"/>
        <w:right w:w="0" w:type="dxa"/>
      </w:tblCellMar>
    </w:tblPr>
    <w:tcPr>
      <w:tcBorders>
        <w:top w:val="double" w:sz="2" w:space="0" w:color="666666" w:themeColor="text1" w:themeTint="99"/>
        <w:left w:val="nil"/>
        <w:bottom w:val="celticKnotwork" w:sz="58" w:space="19" w:color="003A56" w:frame="1"/>
        <w:right w:val="nil"/>
      </w:tcBorders>
      <w:shd w:val="clear" w:color="FFFFFF" w:themeColor="dark1" w:themeTint="00" w:themeShade="3A" w:fill="0013D6"/>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customStyle="1" w:styleId="BasicTable2">
    <w:name w:val="Basic Table2"/>
    <w:basedOn w:val="TableNormal"/>
    <w:rsid w:val="000764CC"/>
    <w:pPr>
      <w:widowControl w:val="0"/>
      <w:adjustRightInd w:val="0"/>
      <w:spacing w:before="120" w:after="120"/>
      <w:textAlignment w:val="baseline"/>
    </w:pPr>
    <w:rPr>
      <w:rFonts w:ascii="Arial" w:eastAsia="MS Mincho" w:hAnsi="Arial"/>
      <w:sz w:val="18"/>
    </w:rPr>
    <w:tblPr>
      <w:tblStyleRowBandSize w:val="1"/>
      <w:tblStyleColBandSize w:val="1"/>
      <w:tblInd w:w="0" w:type="nil"/>
      <w:tblCellMar>
        <w:left w:w="0" w:type="dxa"/>
        <w:right w:w="0" w:type="dxa"/>
      </w:tblCellMar>
    </w:tblPr>
    <w:tcPr>
      <w:tcBorders>
        <w:left w:val="nil"/>
        <w:right w:val="nil"/>
      </w:tcBorders>
    </w:tcPr>
    <w:tblStylePr w:type="firstRow">
      <w:rPr>
        <w:rFonts w:ascii="IBM Plex Sans" w:hAnsi="IBM Plex Sans"/>
        <w:b/>
        <w:bCs/>
        <w:i w:val="0"/>
        <w:color w:val="333333"/>
        <w:sz w:val="20"/>
      </w:rPr>
      <w:tblPr/>
      <w:tcPr>
        <w:tcBorders>
          <w:bottom w:val="single" w:sz="12" w:space="0" w:color="666666" w:themeColor="text1" w:themeTint="99"/>
        </w:tcBorders>
      </w:tcPr>
    </w:tblStylePr>
    <w:tblStylePr w:type="lastRow">
      <w:rPr>
        <w:rFonts w:ascii="IBM Plex Sans" w:hAnsi="IBM Plex Sans"/>
        <w:b/>
        <w:i w:val="0"/>
        <w:color w:val="auto"/>
        <w:sz w:val="20"/>
      </w:rPr>
      <w:tblPr/>
      <w:tcPr>
        <w:tcBorders>
          <w:top w:val="double" w:sz="2" w:space="0" w:color="666666" w:themeColor="text1" w:themeTint="99"/>
        </w:tcBorders>
      </w:tcPr>
    </w:tblStylePr>
    <w:tblStylePr w:type="swCell">
      <w:rPr>
        <w:rFonts w:ascii="IBM Plex Sans" w:hAnsi="IBM Plex Sans"/>
        <w:b/>
        <w:i/>
        <w:iCs/>
        <w:color w:val="auto"/>
        <w:sz w:val="20"/>
      </w:rPr>
    </w:tblStylePr>
  </w:style>
  <w:style w:type="character" w:customStyle="1" w:styleId="apple-converted-space">
    <w:name w:val="apple-converted-space"/>
    <w:basedOn w:val="DefaultParagraphFont"/>
    <w:rsid w:val="00CD659B"/>
  </w:style>
  <w:style w:type="table" w:styleId="TableGridLight">
    <w:name w:val="Grid Table Light"/>
    <w:basedOn w:val="TableNormal"/>
    <w:uiPriority w:val="40"/>
    <w:rsid w:val="00A45B87"/>
    <w:tblPr>
      <w:tblInd w:w="0" w:type="nil"/>
      <w:tblCellMar>
        <w:left w:w="0" w:type="dxa"/>
        <w:right w:w="0" w:type="dxa"/>
      </w:tblCellMar>
    </w:tblPr>
  </w:style>
  <w:style w:type="table" w:styleId="GridTable3">
    <w:name w:val="Grid Table 3"/>
    <w:basedOn w:val="TableNormal"/>
    <w:uiPriority w:val="48"/>
    <w:rsid w:val="00A45B87"/>
    <w:tblPr>
      <w:tblStyleRowBandSize w:val="1"/>
      <w:tblStyleColBandSize w:val="1"/>
      <w:tblInd w:w="0" w:type="nil"/>
      <w:tblCellMar>
        <w:left w:w="0" w:type="dxa"/>
        <w:right w:w="0" w:type="dxa"/>
      </w:tblCellMar>
    </w:tblPr>
    <w:tcPr>
      <w:tcBorders>
        <w:top w:val="single" w:sz="12" w:space="0" w:color="808080"/>
        <w:left w:val="nil"/>
        <w:bottom w:val="single" w:sz="6" w:space="0" w:color="808080"/>
        <w:right w:val="nil"/>
      </w:tcBorders>
      <w:shd w:val="clear" w:color="auto" w:fill="auto"/>
      <w:vAlign w:val="center"/>
    </w:tcPr>
    <w:tblStylePr w:type="firstRow">
      <w:rPr>
        <w:b/>
        <w:bCs/>
      </w:rPr>
      <w:tblPr/>
      <w:tcPr>
        <w:tcBorders>
          <w:top w:val="nil"/>
          <w:left w:val="nil"/>
          <w:bottom w:val="single" w:sz="12" w:space="0" w:color="808080"/>
          <w:right w:val="nil"/>
          <w:insideH w:val="nil"/>
          <w:insideV w:val="nil"/>
          <w:tl2br w:val="nil"/>
          <w:tr2bl w:val="nil"/>
        </w:tcBorders>
        <w:shd w:val="clear" w:color="auto" w:fill="FFFFFF" w:themeFill="background1"/>
      </w:tcPr>
    </w:tblStylePr>
    <w:tblStylePr w:type="lastRow">
      <w:rPr>
        <w:b/>
        <w:bCs/>
      </w:rPr>
      <w:tblPr/>
      <w:tcPr>
        <w:tcBorders>
          <w:top w:val="single" w:sz="12" w:space="0" w:color="808080"/>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right w:val="none" w:sz="208" w:space="19" w:color="80FF3A"/>
          <w:insideH w:val="nil"/>
          <w:insideV w:val="nil"/>
        </w:tcBorders>
        <w:shd w:val="clear" w:color="auto" w:fill="FFFFFF" w:themeFill="background1"/>
      </w:tcPr>
    </w:tblStylePr>
    <w:tblStylePr w:type="lastCol">
      <w:rPr>
        <w:i/>
        <w:iCs/>
      </w:rPr>
      <w:tblPr/>
      <w:tcPr>
        <w:tcBorders>
          <w:top w:val="nil"/>
          <w:left w:val="single" w:sz="4" w:space="0" w:color="7F7F7F" w:themeColor="text1" w:themeTint="80"/>
          <w:bottom w:val="nil"/>
          <w:right w:val="nil"/>
          <w:insideH w:val="nil"/>
          <w:insideV w:val="nil"/>
        </w:tcBorders>
        <w:shd w:val="clear" w:color="auto" w:fill="FFFFFF" w:themeFill="background1"/>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l2br w:val="none" w:sz="0" w:space="0" w:color="auto"/>
          <w:tr2bl w:val="none" w:sz="0" w:space="0" w:color="auto"/>
        </w:tcBorders>
      </w:tcPr>
    </w:tblStylePr>
  </w:style>
  <w:style w:type="table" w:styleId="PlainTable1">
    <w:name w:val="Plain Table 1"/>
    <w:basedOn w:val="TableNormal"/>
    <w:uiPriority w:val="41"/>
    <w:rsid w:val="00A45B87"/>
    <w:tblPr>
      <w:tblStyleRowBandSize w:val="1"/>
      <w:tblStyleColBandSize w:val="1"/>
      <w:tblInd w:w="0" w:type="nil"/>
      <w:tblCellMar>
        <w:left w:w="0" w:type="dxa"/>
        <w:right w:w="0" w:type="dxa"/>
      </w:tblCellMar>
    </w:tblPr>
    <w:tcPr>
      <w:tcBorders>
        <w:top w:val="nil"/>
        <w:left w:val="nil"/>
        <w:bottom w:val="single" w:sz="12" w:space="0" w:color="808080"/>
        <w:right w:val="nil"/>
        <w:insideH w:val="nil"/>
        <w:insideV w:val="nil"/>
        <w:tl2br w:val="nil"/>
        <w:tr2bl w:val="nil"/>
      </w:tcBorders>
      <w:shd w:val="clear" w:color="auto" w:fill="F2F2F2" w:themeFill="background1" w:themeFillShade="F2"/>
    </w:tcPr>
    <w:tblStylePr w:type="firstRow">
      <w:rPr>
        <w:b/>
        <w:bCs/>
      </w:rPr>
    </w:tblStylePr>
    <w:tblStylePr w:type="lastRow">
      <w:rPr>
        <w:b/>
        <w:bCs/>
      </w:rPr>
    </w:tblStylePr>
    <w:tblStylePr w:type="firstCol">
      <w:rPr>
        <w:b/>
        <w:bCs/>
      </w:rPr>
    </w:tblStylePr>
    <w:tblStylePr w:type="lastCol">
      <w:rPr>
        <w:b/>
        <w:bCs/>
      </w:rPr>
      <w:tblPr/>
      <w:tcPr>
        <w:tcBorders>
          <w:top w:val="couponCutoutDots" w:sz="0" w:space="22" w:color="2C080C" w:themeColor="accent5" w:themeShade="3A" w:frame="1"/>
        </w:tcBorders>
      </w:tcPr>
    </w:tblStylePr>
    <w:tblStylePr w:type="band1Vert">
      <w:tblPr/>
      <w:tcPr>
        <w:shd w:val="clear" w:color="auto" w:fill="CCCCCC" w:themeFill="text1" w:themeFillTint="33"/>
      </w:tcPr>
    </w:tblStylePr>
  </w:style>
  <w:style w:type="table" w:styleId="GridTable1Light-Accent1">
    <w:name w:val="Grid Table 1 Light Accent 1"/>
    <w:basedOn w:val="TableNormal"/>
    <w:uiPriority w:val="46"/>
    <w:rsid w:val="00A45B87"/>
    <w:tblPr>
      <w:tblStyleRowBandSize w:val="1"/>
      <w:tblStyleColBandSize w:val="1"/>
      <w:tblInd w:w="0" w:type="nil"/>
      <w:tblCellMar>
        <w:left w:w="0" w:type="dxa"/>
        <w:right w:w="0" w:type="dxa"/>
      </w:tblCellMar>
    </w:tblPr>
    <w:tcPr>
      <w:tcBorders>
        <w:bottom w:val="single" w:sz="12" w:space="0" w:color="0C9DFF" w:themeColor="accent1" w:themeTint="99"/>
      </w:tcBorders>
    </w:tcPr>
    <w:tblStylePr w:type="firstRow">
      <w:rPr>
        <w:b/>
        <w:bCs/>
      </w:rPr>
    </w:tblStylePr>
    <w:tblStylePr w:type="lastRow">
      <w:rPr>
        <w:b/>
        <w:bCs/>
      </w:rPr>
    </w:tblStylePr>
    <w:tblStylePr w:type="firstCol">
      <w:rPr>
        <w:b/>
        <w:bCs/>
      </w:rPr>
    </w:tblStylePr>
    <w:tblStylePr w:type="lastCol">
      <w:rPr>
        <w:b/>
        <w:bCs/>
      </w:rPr>
    </w:tblStylePr>
  </w:style>
  <w:style w:type="table" w:styleId="GridTable1Light-Accent2">
    <w:name w:val="Grid Table 1 Light Accent 2"/>
    <w:basedOn w:val="TableNormal"/>
    <w:uiPriority w:val="46"/>
    <w:rsid w:val="00EB0C55"/>
    <w:tblPr>
      <w:tblStyleRowBandSize w:val="1"/>
      <w:tblStyleColBandSize w:val="1"/>
      <w:tblInd w:w="0" w:type="nil"/>
      <w:tblBorders>
        <w:top w:val="single" w:sz="4" w:space="0" w:color="7FDBFF" w:themeColor="accent2" w:themeTint="66"/>
        <w:left w:val="single" w:sz="4" w:space="0" w:color="7FDBFF" w:themeColor="accent2" w:themeTint="66"/>
        <w:bottom w:val="single" w:sz="4" w:space="0" w:color="7FDBFF" w:themeColor="accent2" w:themeTint="66"/>
        <w:right w:val="single" w:sz="4" w:space="0" w:color="7FDBFF" w:themeColor="accent2" w:themeTint="66"/>
        <w:insideH w:val="single" w:sz="4" w:space="0" w:color="7FDBFF" w:themeColor="accent2" w:themeTint="66"/>
        <w:insideV w:val="single" w:sz="4" w:space="0" w:color="7FDBFF" w:themeColor="accent2" w:themeTint="66"/>
      </w:tblBorders>
      <w:tblCellMar>
        <w:left w:w="0" w:type="dxa"/>
        <w:right w:w="0" w:type="dxa"/>
      </w:tblCellMar>
    </w:tblPr>
    <w:tcPr>
      <w:tcBorders>
        <w:bottom w:val="single" w:sz="12" w:space="0" w:color="0C9DFF" w:themeColor="accent1" w:themeTint="99"/>
      </w:tcBorders>
    </w:tcPr>
    <w:tblStylePr w:type="firstRow">
      <w:rPr>
        <w:b/>
        <w:bCs/>
      </w:rPr>
      <w:tblPr/>
      <w:tcPr>
        <w:tcBorders>
          <w:bottom w:val="single" w:sz="12" w:space="0" w:color="3FC9FF" w:themeColor="accent2" w:themeTint="99"/>
        </w:tcBorders>
      </w:tcPr>
    </w:tblStylePr>
    <w:tblStylePr w:type="lastRow">
      <w:rPr>
        <w:b/>
        <w:bCs/>
      </w:rPr>
      <w:tblPr/>
      <w:tcPr>
        <w:tcBorders>
          <w:top w:val="double" w:sz="2" w:space="0" w:color="3FC9FF" w:themeColor="accent2" w:themeTint="99"/>
        </w:tcBorders>
      </w:tcPr>
    </w:tblStylePr>
    <w:tblStylePr w:type="firstCol">
      <w:rPr>
        <w:b/>
        <w:bCs/>
      </w:rPr>
    </w:tblStylePr>
    <w:tblStylePr w:type="lastCol">
      <w:rPr>
        <w:b/>
        <w:bCs/>
      </w:rPr>
    </w:tblStylePr>
  </w:style>
  <w:style w:type="table" w:customStyle="1" w:styleId="TableGrid10">
    <w:name w:val="Table Grid1"/>
    <w:basedOn w:val="TableNormal"/>
    <w:next w:val="TableGrid"/>
    <w:rsid w:val="001E2080"/>
    <w:pPr>
      <w:spacing w:before="60" w:after="60"/>
    </w:pPr>
    <w:rPr>
      <w:rFonts w:ascii="Arial" w:hAnsi="Arial"/>
      <w:sz w:val="18"/>
      <w:szCs w:val="19"/>
    </w:rPr>
    <w:tblPr>
      <w:tblInd w:w="0" w:type="nil"/>
      <w:tblCellMar>
        <w:left w:w="0" w:type="dxa"/>
        <w:right w:w="0" w:type="dxa"/>
      </w:tblCellMar>
    </w:tblPr>
    <w:tcPr>
      <w:tcBorders>
        <w:top w:val="single" w:sz="12" w:space="0" w:color="auto"/>
        <w:left w:val="single" w:sz="4" w:space="0" w:color="auto"/>
        <w:bottom w:val="single" w:sz="4" w:space="0" w:color="auto"/>
        <w:right w:val="single" w:sz="4" w:space="0" w:color="auto"/>
        <w:insideH w:val="nil"/>
        <w:insideV w:val="nil"/>
        <w:tl2br w:val="nil"/>
        <w:tr2bl w:val="nil"/>
      </w:tcBorders>
    </w:tcPr>
    <w:tblStylePr w:type="firstRow">
      <w:rPr>
        <w:rFonts w:ascii="Arial" w:hAnsi="Arial"/>
        <w:b w:val="0"/>
        <w:i w:val="0"/>
        <w:sz w:val="18"/>
        <w:szCs w:val="19"/>
      </w:rPr>
    </w:tblStylePr>
    <w:tblStylePr w:type="lastRow">
      <w:rPr>
        <w:rFonts w:ascii="Arial" w:hAnsi="Arial"/>
        <w:sz w:val="18"/>
      </w:rPr>
    </w:tblStylePr>
  </w:style>
  <w:style w:type="character" w:customStyle="1" w:styleId="Heading4Char">
    <w:name w:val="Heading 4 Char"/>
    <w:aliases w:val="CS IBM-Heading 4 Char"/>
    <w:basedOn w:val="DefaultParagraphFont"/>
    <w:link w:val="Heading4"/>
    <w:uiPriority w:val="9"/>
    <w:rsid w:val="00757D37"/>
    <w:rPr>
      <w:rFonts w:ascii="Century Gothic" w:hAnsi="Century Gothic" w:cs="Arial"/>
      <w:i/>
      <w:color w:val="348180"/>
      <w:sz w:val="32"/>
      <w:szCs w:val="32"/>
      <w:lang w:eastAsia="en-GB"/>
    </w:rPr>
  </w:style>
  <w:style w:type="paragraph" w:customStyle="1" w:styleId="TableBullet1">
    <w:name w:val="Table Bullet 1"/>
    <w:basedOn w:val="Normal"/>
    <w:qFormat/>
    <w:rsid w:val="00CF7600"/>
    <w:pPr>
      <w:spacing w:before="60"/>
    </w:pPr>
    <w:rPr>
      <w:color w:val="auto"/>
      <w:sz w:val="20"/>
      <w:szCs w:val="24"/>
      <w:lang w:eastAsia="en-US"/>
    </w:rPr>
  </w:style>
  <w:style w:type="paragraph" w:customStyle="1" w:styleId="RFPHeader1">
    <w:name w:val="RFP Header 1"/>
    <w:basedOn w:val="Normal"/>
    <w:qFormat/>
    <w:rsid w:val="000E342E"/>
    <w:pPr>
      <w:keepNext/>
      <w:numPr>
        <w:numId w:val="66"/>
      </w:numPr>
      <w:spacing w:before="360" w:after="120"/>
      <w:outlineLvl w:val="0"/>
    </w:pPr>
    <w:rPr>
      <w:rFonts w:ascii="Arial" w:hAnsi="Arial" w:cs="Arial"/>
      <w:b/>
      <w:caps/>
      <w:color w:val="62131A" w:themeColor="accent5" w:themeShade="80"/>
      <w:sz w:val="28"/>
      <w:szCs w:val="20"/>
      <w:lang w:eastAsia="en-US"/>
    </w:rPr>
  </w:style>
  <w:style w:type="paragraph" w:customStyle="1" w:styleId="RFPHeader2">
    <w:name w:val="RFP Header 2"/>
    <w:basedOn w:val="RFPHeader1"/>
    <w:qFormat/>
    <w:rsid w:val="000E342E"/>
    <w:pPr>
      <w:numPr>
        <w:ilvl w:val="1"/>
      </w:numPr>
      <w:tabs>
        <w:tab w:val="left" w:pos="360"/>
        <w:tab w:val="left" w:pos="720"/>
      </w:tabs>
    </w:pPr>
    <w:rPr>
      <w:caps w:val="0"/>
    </w:rPr>
  </w:style>
  <w:style w:type="paragraph" w:customStyle="1" w:styleId="RFPHeader3">
    <w:name w:val="RFP Header 3"/>
    <w:basedOn w:val="RFPHeader2"/>
    <w:qFormat/>
    <w:rsid w:val="000E342E"/>
    <w:pPr>
      <w:numPr>
        <w:ilvl w:val="2"/>
      </w:numPr>
      <w:tabs>
        <w:tab w:val="left" w:pos="1080"/>
      </w:tabs>
    </w:pPr>
    <w:rPr>
      <w:sz w:val="24"/>
    </w:rPr>
  </w:style>
  <w:style w:type="paragraph" w:customStyle="1" w:styleId="RFPHeader4">
    <w:name w:val="RFP Header 4"/>
    <w:basedOn w:val="RFPHeader3"/>
    <w:next w:val="Normal"/>
    <w:qFormat/>
    <w:rsid w:val="000E342E"/>
    <w:pPr>
      <w:numPr>
        <w:ilvl w:val="3"/>
      </w:numPr>
    </w:pPr>
  </w:style>
  <w:style w:type="paragraph" w:customStyle="1" w:styleId="RFPHeader5">
    <w:name w:val="RFP Header 5"/>
    <w:basedOn w:val="RFPHeader4"/>
    <w:qFormat/>
    <w:rsid w:val="000E342E"/>
    <w:pPr>
      <w:numPr>
        <w:ilvl w:val="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160995">
      <w:bodyDiv w:val="1"/>
      <w:marLeft w:val="0"/>
      <w:marRight w:val="0"/>
      <w:marTop w:val="0"/>
      <w:marBottom w:val="0"/>
      <w:divBdr>
        <w:top w:val="none" w:sz="0" w:space="0" w:color="auto"/>
        <w:left w:val="none" w:sz="0" w:space="0" w:color="auto"/>
        <w:bottom w:val="none" w:sz="0" w:space="0" w:color="auto"/>
        <w:right w:val="none" w:sz="0" w:space="0" w:color="auto"/>
      </w:divBdr>
    </w:div>
    <w:div w:id="209877024">
      <w:bodyDiv w:val="1"/>
      <w:marLeft w:val="0"/>
      <w:marRight w:val="0"/>
      <w:marTop w:val="0"/>
      <w:marBottom w:val="0"/>
      <w:divBdr>
        <w:top w:val="none" w:sz="0" w:space="0" w:color="auto"/>
        <w:left w:val="none" w:sz="0" w:space="0" w:color="auto"/>
        <w:bottom w:val="none" w:sz="0" w:space="0" w:color="auto"/>
        <w:right w:val="none" w:sz="0" w:space="0" w:color="auto"/>
      </w:divBdr>
    </w:div>
    <w:div w:id="283082708">
      <w:bodyDiv w:val="1"/>
      <w:marLeft w:val="0"/>
      <w:marRight w:val="0"/>
      <w:marTop w:val="0"/>
      <w:marBottom w:val="0"/>
      <w:divBdr>
        <w:top w:val="none" w:sz="0" w:space="0" w:color="auto"/>
        <w:left w:val="none" w:sz="0" w:space="0" w:color="auto"/>
        <w:bottom w:val="none" w:sz="0" w:space="0" w:color="auto"/>
        <w:right w:val="none" w:sz="0" w:space="0" w:color="auto"/>
      </w:divBdr>
    </w:div>
    <w:div w:id="549073374">
      <w:bodyDiv w:val="1"/>
      <w:marLeft w:val="0"/>
      <w:marRight w:val="0"/>
      <w:marTop w:val="0"/>
      <w:marBottom w:val="0"/>
      <w:divBdr>
        <w:top w:val="none" w:sz="0" w:space="0" w:color="auto"/>
        <w:left w:val="none" w:sz="0" w:space="0" w:color="auto"/>
        <w:bottom w:val="none" w:sz="0" w:space="0" w:color="auto"/>
        <w:right w:val="none" w:sz="0" w:space="0" w:color="auto"/>
      </w:divBdr>
    </w:div>
    <w:div w:id="567690305">
      <w:bodyDiv w:val="1"/>
      <w:marLeft w:val="0"/>
      <w:marRight w:val="0"/>
      <w:marTop w:val="0"/>
      <w:marBottom w:val="0"/>
      <w:divBdr>
        <w:top w:val="none" w:sz="0" w:space="0" w:color="auto"/>
        <w:left w:val="none" w:sz="0" w:space="0" w:color="auto"/>
        <w:bottom w:val="none" w:sz="0" w:space="0" w:color="auto"/>
        <w:right w:val="none" w:sz="0" w:space="0" w:color="auto"/>
      </w:divBdr>
      <w:divsChild>
        <w:div w:id="468985837">
          <w:marLeft w:val="446"/>
          <w:marRight w:val="0"/>
          <w:marTop w:val="0"/>
          <w:marBottom w:val="0"/>
          <w:divBdr>
            <w:top w:val="none" w:sz="0" w:space="0" w:color="auto"/>
            <w:left w:val="none" w:sz="0" w:space="0" w:color="auto"/>
            <w:bottom w:val="none" w:sz="0" w:space="0" w:color="auto"/>
            <w:right w:val="none" w:sz="0" w:space="0" w:color="auto"/>
          </w:divBdr>
        </w:div>
        <w:div w:id="657225292">
          <w:marLeft w:val="446"/>
          <w:marRight w:val="0"/>
          <w:marTop w:val="0"/>
          <w:marBottom w:val="0"/>
          <w:divBdr>
            <w:top w:val="none" w:sz="0" w:space="0" w:color="auto"/>
            <w:left w:val="none" w:sz="0" w:space="0" w:color="auto"/>
            <w:bottom w:val="none" w:sz="0" w:space="0" w:color="auto"/>
            <w:right w:val="none" w:sz="0" w:space="0" w:color="auto"/>
          </w:divBdr>
        </w:div>
        <w:div w:id="1993173794">
          <w:marLeft w:val="446"/>
          <w:marRight w:val="0"/>
          <w:marTop w:val="0"/>
          <w:marBottom w:val="0"/>
          <w:divBdr>
            <w:top w:val="none" w:sz="0" w:space="0" w:color="auto"/>
            <w:left w:val="none" w:sz="0" w:space="0" w:color="auto"/>
            <w:bottom w:val="none" w:sz="0" w:space="0" w:color="auto"/>
            <w:right w:val="none" w:sz="0" w:space="0" w:color="auto"/>
          </w:divBdr>
        </w:div>
      </w:divsChild>
    </w:div>
    <w:div w:id="605502006">
      <w:bodyDiv w:val="1"/>
      <w:marLeft w:val="0"/>
      <w:marRight w:val="0"/>
      <w:marTop w:val="0"/>
      <w:marBottom w:val="0"/>
      <w:divBdr>
        <w:top w:val="none" w:sz="0" w:space="0" w:color="auto"/>
        <w:left w:val="none" w:sz="0" w:space="0" w:color="auto"/>
        <w:bottom w:val="none" w:sz="0" w:space="0" w:color="auto"/>
        <w:right w:val="none" w:sz="0" w:space="0" w:color="auto"/>
      </w:divBdr>
    </w:div>
    <w:div w:id="686949029">
      <w:bodyDiv w:val="1"/>
      <w:marLeft w:val="0"/>
      <w:marRight w:val="0"/>
      <w:marTop w:val="0"/>
      <w:marBottom w:val="0"/>
      <w:divBdr>
        <w:top w:val="none" w:sz="0" w:space="0" w:color="auto"/>
        <w:left w:val="none" w:sz="0" w:space="0" w:color="auto"/>
        <w:bottom w:val="none" w:sz="0" w:space="0" w:color="auto"/>
        <w:right w:val="none" w:sz="0" w:space="0" w:color="auto"/>
      </w:divBdr>
      <w:divsChild>
        <w:div w:id="756171419">
          <w:marLeft w:val="446"/>
          <w:marRight w:val="0"/>
          <w:marTop w:val="0"/>
          <w:marBottom w:val="0"/>
          <w:divBdr>
            <w:top w:val="none" w:sz="0" w:space="0" w:color="auto"/>
            <w:left w:val="none" w:sz="0" w:space="0" w:color="auto"/>
            <w:bottom w:val="none" w:sz="0" w:space="0" w:color="auto"/>
            <w:right w:val="none" w:sz="0" w:space="0" w:color="auto"/>
          </w:divBdr>
        </w:div>
        <w:div w:id="1896743305">
          <w:marLeft w:val="446"/>
          <w:marRight w:val="0"/>
          <w:marTop w:val="0"/>
          <w:marBottom w:val="0"/>
          <w:divBdr>
            <w:top w:val="none" w:sz="0" w:space="0" w:color="auto"/>
            <w:left w:val="none" w:sz="0" w:space="0" w:color="auto"/>
            <w:bottom w:val="none" w:sz="0" w:space="0" w:color="auto"/>
            <w:right w:val="none" w:sz="0" w:space="0" w:color="auto"/>
          </w:divBdr>
        </w:div>
        <w:div w:id="1957633357">
          <w:marLeft w:val="446"/>
          <w:marRight w:val="0"/>
          <w:marTop w:val="0"/>
          <w:marBottom w:val="0"/>
          <w:divBdr>
            <w:top w:val="none" w:sz="0" w:space="0" w:color="auto"/>
            <w:left w:val="none" w:sz="0" w:space="0" w:color="auto"/>
            <w:bottom w:val="none" w:sz="0" w:space="0" w:color="auto"/>
            <w:right w:val="none" w:sz="0" w:space="0" w:color="auto"/>
          </w:divBdr>
        </w:div>
      </w:divsChild>
    </w:div>
    <w:div w:id="799571455">
      <w:bodyDiv w:val="1"/>
      <w:marLeft w:val="0"/>
      <w:marRight w:val="0"/>
      <w:marTop w:val="0"/>
      <w:marBottom w:val="0"/>
      <w:divBdr>
        <w:top w:val="none" w:sz="0" w:space="0" w:color="auto"/>
        <w:left w:val="none" w:sz="0" w:space="0" w:color="auto"/>
        <w:bottom w:val="none" w:sz="0" w:space="0" w:color="auto"/>
        <w:right w:val="none" w:sz="0" w:space="0" w:color="auto"/>
      </w:divBdr>
      <w:divsChild>
        <w:div w:id="796601215">
          <w:marLeft w:val="446"/>
          <w:marRight w:val="0"/>
          <w:marTop w:val="0"/>
          <w:marBottom w:val="0"/>
          <w:divBdr>
            <w:top w:val="none" w:sz="0" w:space="0" w:color="auto"/>
            <w:left w:val="none" w:sz="0" w:space="0" w:color="auto"/>
            <w:bottom w:val="none" w:sz="0" w:space="0" w:color="auto"/>
            <w:right w:val="none" w:sz="0" w:space="0" w:color="auto"/>
          </w:divBdr>
        </w:div>
        <w:div w:id="1280798891">
          <w:marLeft w:val="446"/>
          <w:marRight w:val="0"/>
          <w:marTop w:val="0"/>
          <w:marBottom w:val="0"/>
          <w:divBdr>
            <w:top w:val="none" w:sz="0" w:space="0" w:color="auto"/>
            <w:left w:val="none" w:sz="0" w:space="0" w:color="auto"/>
            <w:bottom w:val="none" w:sz="0" w:space="0" w:color="auto"/>
            <w:right w:val="none" w:sz="0" w:space="0" w:color="auto"/>
          </w:divBdr>
        </w:div>
        <w:div w:id="1829979636">
          <w:marLeft w:val="446"/>
          <w:marRight w:val="0"/>
          <w:marTop w:val="0"/>
          <w:marBottom w:val="0"/>
          <w:divBdr>
            <w:top w:val="none" w:sz="0" w:space="0" w:color="auto"/>
            <w:left w:val="none" w:sz="0" w:space="0" w:color="auto"/>
            <w:bottom w:val="none" w:sz="0" w:space="0" w:color="auto"/>
            <w:right w:val="none" w:sz="0" w:space="0" w:color="auto"/>
          </w:divBdr>
        </w:div>
      </w:divsChild>
    </w:div>
    <w:div w:id="1002856802">
      <w:bodyDiv w:val="1"/>
      <w:marLeft w:val="0"/>
      <w:marRight w:val="0"/>
      <w:marTop w:val="0"/>
      <w:marBottom w:val="0"/>
      <w:divBdr>
        <w:top w:val="none" w:sz="0" w:space="0" w:color="auto"/>
        <w:left w:val="none" w:sz="0" w:space="0" w:color="auto"/>
        <w:bottom w:val="none" w:sz="0" w:space="0" w:color="auto"/>
        <w:right w:val="none" w:sz="0" w:space="0" w:color="auto"/>
      </w:divBdr>
      <w:divsChild>
        <w:div w:id="668482964">
          <w:marLeft w:val="0"/>
          <w:marRight w:val="0"/>
          <w:marTop w:val="0"/>
          <w:marBottom w:val="0"/>
          <w:divBdr>
            <w:top w:val="none" w:sz="0" w:space="0" w:color="auto"/>
            <w:left w:val="none" w:sz="0" w:space="0" w:color="auto"/>
            <w:bottom w:val="none" w:sz="0" w:space="0" w:color="auto"/>
            <w:right w:val="none" w:sz="0" w:space="0" w:color="auto"/>
          </w:divBdr>
        </w:div>
        <w:div w:id="715932851">
          <w:marLeft w:val="0"/>
          <w:marRight w:val="0"/>
          <w:marTop w:val="0"/>
          <w:marBottom w:val="0"/>
          <w:divBdr>
            <w:top w:val="none" w:sz="0" w:space="0" w:color="auto"/>
            <w:left w:val="none" w:sz="0" w:space="0" w:color="auto"/>
            <w:bottom w:val="none" w:sz="0" w:space="0" w:color="auto"/>
            <w:right w:val="none" w:sz="0" w:space="0" w:color="auto"/>
          </w:divBdr>
        </w:div>
        <w:div w:id="1614358546">
          <w:marLeft w:val="0"/>
          <w:marRight w:val="0"/>
          <w:marTop w:val="0"/>
          <w:marBottom w:val="0"/>
          <w:divBdr>
            <w:top w:val="none" w:sz="0" w:space="0" w:color="auto"/>
            <w:left w:val="none" w:sz="0" w:space="0" w:color="auto"/>
            <w:bottom w:val="none" w:sz="0" w:space="0" w:color="auto"/>
            <w:right w:val="none" w:sz="0" w:space="0" w:color="auto"/>
          </w:divBdr>
        </w:div>
        <w:div w:id="1703901899">
          <w:marLeft w:val="0"/>
          <w:marRight w:val="0"/>
          <w:marTop w:val="0"/>
          <w:marBottom w:val="0"/>
          <w:divBdr>
            <w:top w:val="none" w:sz="0" w:space="0" w:color="auto"/>
            <w:left w:val="none" w:sz="0" w:space="0" w:color="auto"/>
            <w:bottom w:val="none" w:sz="0" w:space="0" w:color="auto"/>
            <w:right w:val="none" w:sz="0" w:space="0" w:color="auto"/>
          </w:divBdr>
        </w:div>
        <w:div w:id="1715695298">
          <w:marLeft w:val="0"/>
          <w:marRight w:val="0"/>
          <w:marTop w:val="0"/>
          <w:marBottom w:val="0"/>
          <w:divBdr>
            <w:top w:val="none" w:sz="0" w:space="0" w:color="auto"/>
            <w:left w:val="none" w:sz="0" w:space="0" w:color="auto"/>
            <w:bottom w:val="none" w:sz="0" w:space="0" w:color="auto"/>
            <w:right w:val="none" w:sz="0" w:space="0" w:color="auto"/>
          </w:divBdr>
        </w:div>
      </w:divsChild>
    </w:div>
    <w:div w:id="1190339415">
      <w:bodyDiv w:val="1"/>
      <w:marLeft w:val="0"/>
      <w:marRight w:val="0"/>
      <w:marTop w:val="0"/>
      <w:marBottom w:val="0"/>
      <w:divBdr>
        <w:top w:val="none" w:sz="0" w:space="0" w:color="auto"/>
        <w:left w:val="none" w:sz="0" w:space="0" w:color="auto"/>
        <w:bottom w:val="none" w:sz="0" w:space="0" w:color="auto"/>
        <w:right w:val="none" w:sz="0" w:space="0" w:color="auto"/>
      </w:divBdr>
    </w:div>
    <w:div w:id="1309281823">
      <w:bodyDiv w:val="1"/>
      <w:marLeft w:val="0"/>
      <w:marRight w:val="0"/>
      <w:marTop w:val="0"/>
      <w:marBottom w:val="0"/>
      <w:divBdr>
        <w:top w:val="none" w:sz="0" w:space="0" w:color="auto"/>
        <w:left w:val="none" w:sz="0" w:space="0" w:color="auto"/>
        <w:bottom w:val="none" w:sz="0" w:space="0" w:color="auto"/>
        <w:right w:val="none" w:sz="0" w:space="0" w:color="auto"/>
      </w:divBdr>
    </w:div>
    <w:div w:id="1456145229">
      <w:bodyDiv w:val="1"/>
      <w:marLeft w:val="0"/>
      <w:marRight w:val="0"/>
      <w:marTop w:val="0"/>
      <w:marBottom w:val="0"/>
      <w:divBdr>
        <w:top w:val="none" w:sz="0" w:space="0" w:color="auto"/>
        <w:left w:val="none" w:sz="0" w:space="0" w:color="auto"/>
        <w:bottom w:val="none" w:sz="0" w:space="0" w:color="auto"/>
        <w:right w:val="none" w:sz="0" w:space="0" w:color="auto"/>
      </w:divBdr>
      <w:divsChild>
        <w:div w:id="1233542416">
          <w:marLeft w:val="0"/>
          <w:marRight w:val="0"/>
          <w:marTop w:val="0"/>
          <w:marBottom w:val="0"/>
          <w:divBdr>
            <w:top w:val="none" w:sz="0" w:space="0" w:color="auto"/>
            <w:left w:val="none" w:sz="0" w:space="0" w:color="auto"/>
            <w:bottom w:val="none" w:sz="0" w:space="0" w:color="auto"/>
            <w:right w:val="none" w:sz="0" w:space="0" w:color="auto"/>
          </w:divBdr>
          <w:divsChild>
            <w:div w:id="572931168">
              <w:marLeft w:val="0"/>
              <w:marRight w:val="0"/>
              <w:marTop w:val="0"/>
              <w:marBottom w:val="0"/>
              <w:divBdr>
                <w:top w:val="none" w:sz="0" w:space="0" w:color="auto"/>
                <w:left w:val="none" w:sz="0" w:space="0" w:color="auto"/>
                <w:bottom w:val="none" w:sz="0" w:space="0" w:color="auto"/>
                <w:right w:val="none" w:sz="0" w:space="0" w:color="auto"/>
              </w:divBdr>
            </w:div>
            <w:div w:id="618606911">
              <w:marLeft w:val="0"/>
              <w:marRight w:val="0"/>
              <w:marTop w:val="0"/>
              <w:marBottom w:val="0"/>
              <w:divBdr>
                <w:top w:val="none" w:sz="0" w:space="0" w:color="auto"/>
                <w:left w:val="none" w:sz="0" w:space="0" w:color="auto"/>
                <w:bottom w:val="none" w:sz="0" w:space="0" w:color="auto"/>
                <w:right w:val="none" w:sz="0" w:space="0" w:color="auto"/>
              </w:divBdr>
            </w:div>
            <w:div w:id="1212231407">
              <w:marLeft w:val="0"/>
              <w:marRight w:val="0"/>
              <w:marTop w:val="0"/>
              <w:marBottom w:val="0"/>
              <w:divBdr>
                <w:top w:val="none" w:sz="0" w:space="0" w:color="auto"/>
                <w:left w:val="none" w:sz="0" w:space="0" w:color="auto"/>
                <w:bottom w:val="none" w:sz="0" w:space="0" w:color="auto"/>
                <w:right w:val="none" w:sz="0" w:space="0" w:color="auto"/>
              </w:divBdr>
            </w:div>
            <w:div w:id="1449357065">
              <w:marLeft w:val="0"/>
              <w:marRight w:val="0"/>
              <w:marTop w:val="0"/>
              <w:marBottom w:val="0"/>
              <w:divBdr>
                <w:top w:val="none" w:sz="0" w:space="0" w:color="auto"/>
                <w:left w:val="none" w:sz="0" w:space="0" w:color="auto"/>
                <w:bottom w:val="none" w:sz="0" w:space="0" w:color="auto"/>
                <w:right w:val="none" w:sz="0" w:space="0" w:color="auto"/>
              </w:divBdr>
            </w:div>
            <w:div w:id="197710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382462">
      <w:bodyDiv w:val="1"/>
      <w:marLeft w:val="0"/>
      <w:marRight w:val="0"/>
      <w:marTop w:val="0"/>
      <w:marBottom w:val="0"/>
      <w:divBdr>
        <w:top w:val="none" w:sz="0" w:space="0" w:color="auto"/>
        <w:left w:val="none" w:sz="0" w:space="0" w:color="auto"/>
        <w:bottom w:val="none" w:sz="0" w:space="0" w:color="auto"/>
        <w:right w:val="none" w:sz="0" w:space="0" w:color="auto"/>
      </w:divBdr>
    </w:div>
    <w:div w:id="1598564388">
      <w:bodyDiv w:val="1"/>
      <w:marLeft w:val="0"/>
      <w:marRight w:val="0"/>
      <w:marTop w:val="0"/>
      <w:marBottom w:val="0"/>
      <w:divBdr>
        <w:top w:val="none" w:sz="0" w:space="0" w:color="auto"/>
        <w:left w:val="none" w:sz="0" w:space="0" w:color="auto"/>
        <w:bottom w:val="none" w:sz="0" w:space="0" w:color="auto"/>
        <w:right w:val="none" w:sz="0" w:space="0" w:color="auto"/>
      </w:divBdr>
    </w:div>
    <w:div w:id="1730492717">
      <w:bodyDiv w:val="1"/>
      <w:marLeft w:val="0"/>
      <w:marRight w:val="0"/>
      <w:marTop w:val="0"/>
      <w:marBottom w:val="0"/>
      <w:divBdr>
        <w:top w:val="none" w:sz="0" w:space="0" w:color="auto"/>
        <w:left w:val="none" w:sz="0" w:space="0" w:color="auto"/>
        <w:bottom w:val="none" w:sz="0" w:space="0" w:color="auto"/>
        <w:right w:val="none" w:sz="0" w:space="0" w:color="auto"/>
      </w:divBdr>
      <w:divsChild>
        <w:div w:id="1007438699">
          <w:marLeft w:val="0"/>
          <w:marRight w:val="0"/>
          <w:marTop w:val="0"/>
          <w:marBottom w:val="0"/>
          <w:divBdr>
            <w:top w:val="none" w:sz="0" w:space="0" w:color="auto"/>
            <w:left w:val="none" w:sz="0" w:space="0" w:color="auto"/>
            <w:bottom w:val="none" w:sz="0" w:space="0" w:color="auto"/>
            <w:right w:val="none" w:sz="0" w:space="0" w:color="auto"/>
          </w:divBdr>
        </w:div>
        <w:div w:id="1028409878">
          <w:marLeft w:val="0"/>
          <w:marRight w:val="0"/>
          <w:marTop w:val="0"/>
          <w:marBottom w:val="0"/>
          <w:divBdr>
            <w:top w:val="none" w:sz="0" w:space="0" w:color="auto"/>
            <w:left w:val="none" w:sz="0" w:space="0" w:color="auto"/>
            <w:bottom w:val="none" w:sz="0" w:space="0" w:color="auto"/>
            <w:right w:val="none" w:sz="0" w:space="0" w:color="auto"/>
          </w:divBdr>
        </w:div>
        <w:div w:id="1158110601">
          <w:marLeft w:val="0"/>
          <w:marRight w:val="0"/>
          <w:marTop w:val="0"/>
          <w:marBottom w:val="0"/>
          <w:divBdr>
            <w:top w:val="none" w:sz="0" w:space="0" w:color="auto"/>
            <w:left w:val="none" w:sz="0" w:space="0" w:color="auto"/>
            <w:bottom w:val="none" w:sz="0" w:space="0" w:color="auto"/>
            <w:right w:val="none" w:sz="0" w:space="0" w:color="auto"/>
          </w:divBdr>
        </w:div>
        <w:div w:id="1446659886">
          <w:marLeft w:val="0"/>
          <w:marRight w:val="0"/>
          <w:marTop w:val="0"/>
          <w:marBottom w:val="0"/>
          <w:divBdr>
            <w:top w:val="none" w:sz="0" w:space="0" w:color="auto"/>
            <w:left w:val="none" w:sz="0" w:space="0" w:color="auto"/>
            <w:bottom w:val="none" w:sz="0" w:space="0" w:color="auto"/>
            <w:right w:val="none" w:sz="0" w:space="0" w:color="auto"/>
          </w:divBdr>
        </w:div>
        <w:div w:id="1784350149">
          <w:marLeft w:val="0"/>
          <w:marRight w:val="0"/>
          <w:marTop w:val="0"/>
          <w:marBottom w:val="0"/>
          <w:divBdr>
            <w:top w:val="none" w:sz="0" w:space="0" w:color="auto"/>
            <w:left w:val="none" w:sz="0" w:space="0" w:color="auto"/>
            <w:bottom w:val="none" w:sz="0" w:space="0" w:color="auto"/>
            <w:right w:val="none" w:sz="0" w:space="0" w:color="auto"/>
          </w:divBdr>
        </w:div>
      </w:divsChild>
    </w:div>
    <w:div w:id="1733040429">
      <w:bodyDiv w:val="1"/>
      <w:marLeft w:val="0"/>
      <w:marRight w:val="0"/>
      <w:marTop w:val="0"/>
      <w:marBottom w:val="0"/>
      <w:divBdr>
        <w:top w:val="none" w:sz="0" w:space="0" w:color="auto"/>
        <w:left w:val="none" w:sz="0" w:space="0" w:color="auto"/>
        <w:bottom w:val="none" w:sz="0" w:space="0" w:color="auto"/>
        <w:right w:val="none" w:sz="0" w:space="0" w:color="auto"/>
      </w:divBdr>
    </w:div>
    <w:div w:id="1775127752">
      <w:bodyDiv w:val="1"/>
      <w:marLeft w:val="0"/>
      <w:marRight w:val="0"/>
      <w:marTop w:val="0"/>
      <w:marBottom w:val="0"/>
      <w:divBdr>
        <w:top w:val="none" w:sz="0" w:space="0" w:color="auto"/>
        <w:left w:val="none" w:sz="0" w:space="0" w:color="auto"/>
        <w:bottom w:val="none" w:sz="0" w:space="0" w:color="auto"/>
        <w:right w:val="none" w:sz="0" w:space="0" w:color="auto"/>
      </w:divBdr>
    </w:div>
    <w:div w:id="2026789944">
      <w:bodyDiv w:val="1"/>
      <w:marLeft w:val="0"/>
      <w:marRight w:val="0"/>
      <w:marTop w:val="0"/>
      <w:marBottom w:val="0"/>
      <w:divBdr>
        <w:top w:val="none" w:sz="0" w:space="0" w:color="auto"/>
        <w:left w:val="none" w:sz="0" w:space="0" w:color="auto"/>
        <w:bottom w:val="none" w:sz="0" w:space="0" w:color="auto"/>
        <w:right w:val="none" w:sz="0" w:space="0" w:color="auto"/>
      </w:divBdr>
    </w:div>
    <w:div w:id="2107069147">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customXml" Target="../customXml/item3.xml"/><Relationship Id="rId21" Type="http://schemas.openxmlformats.org/officeDocument/2006/relationships/image" Target="media/image14.png"/><Relationship Id="rId34" Type="http://schemas.openxmlformats.org/officeDocument/2006/relationships/header" Target="header2.xml"/><Relationship Id="rId42" Type="http://schemas.openxmlformats.org/officeDocument/2006/relationships/customXml" Target="../customXml/item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40"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2.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Q2C Proposal Template">
      <a:dk1>
        <a:srgbClr val="000000"/>
      </a:dk1>
      <a:lt1>
        <a:srgbClr val="FFFFFF"/>
      </a:lt1>
      <a:dk2>
        <a:srgbClr val="000000"/>
      </a:dk2>
      <a:lt2>
        <a:srgbClr val="42474C"/>
      </a:lt2>
      <a:accent1>
        <a:srgbClr val="003F69"/>
      </a:accent1>
      <a:accent2>
        <a:srgbClr val="008ABF"/>
      </a:accent2>
      <a:accent3>
        <a:srgbClr val="00A6A0"/>
      </a:accent3>
      <a:accent4>
        <a:srgbClr val="86BE4A"/>
      </a:accent4>
      <a:accent5>
        <a:srgbClr val="C52636"/>
      </a:accent5>
      <a:accent6>
        <a:srgbClr val="E48A3F"/>
      </a:accent6>
      <a:hlink>
        <a:srgbClr val="008ABF"/>
      </a:hlink>
      <a:folHlink>
        <a:srgbClr val="6B737C"/>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7F886295FD50240A51205FADCF73148" ma:contentTypeVersion="3" ma:contentTypeDescription="Create a new document." ma:contentTypeScope="" ma:versionID="d723d2944177a3e679142524ab19b624">
  <xsd:schema xmlns:xsd="http://www.w3.org/2001/XMLSchema" xmlns:xs="http://www.w3.org/2001/XMLSchema" xmlns:p="http://schemas.microsoft.com/office/2006/metadata/properties" xmlns:ns2="500343c0-af67-4d55-b6f3-a7838e163d14" xmlns:ns3="3c52f3de-f6ea-4171-9f59-d185ac51bd8c" targetNamespace="http://schemas.microsoft.com/office/2006/metadata/properties" ma:root="true" ma:fieldsID="9e0a1e31ded1f46a996e91767901b4fc" ns2:_="" ns3:_="">
    <xsd:import namespace="500343c0-af67-4d55-b6f3-a7838e163d14"/>
    <xsd:import namespace="3c52f3de-f6ea-4171-9f59-d185ac51bd8c"/>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c52f3de-f6ea-4171-9f59-d185ac51bd8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5bce90d6-5a2c-47e0-8337-aac7acda0e97" ContentTypeId="0x0101" PreviousValue="false" LastSyncTimeStamp="2017-02-08T00:21:31.92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W3A6JUTVPN6F-1912509297-125</_dlc_DocId>
    <_dlc_DocIdUrl xmlns="500343c0-af67-4d55-b6f3-a7838e163d14">
      <Url>https://osicagov.sharepoint.com/sites/CalSAWS_Procurement/_layouts/15/DocIdRedir.aspx?ID=W3A6JUTVPN6F-1912509297-125</Url>
      <Description>W3A6JUTVPN6F-1912509297-125</Description>
    </_dlc_DocIdUrl>
  </documentManagement>
</p:properties>
</file>

<file path=customXml/itemProps1.xml><?xml version="1.0" encoding="utf-8"?>
<ds:datastoreItem xmlns:ds="http://schemas.openxmlformats.org/officeDocument/2006/customXml" ds:itemID="{95F7F4D9-2A68-49F0-B72F-CC02A3E5B6EE}">
  <ds:schemaRefs>
    <ds:schemaRef ds:uri="http://schemas.openxmlformats.org/officeDocument/2006/bibliography"/>
  </ds:schemaRefs>
</ds:datastoreItem>
</file>

<file path=customXml/itemProps2.xml><?xml version="1.0" encoding="utf-8"?>
<ds:datastoreItem xmlns:ds="http://schemas.openxmlformats.org/officeDocument/2006/customXml" ds:itemID="{BED0B3B8-8C15-4E8D-B3F3-69A04B4C40E0}"/>
</file>

<file path=customXml/itemProps3.xml><?xml version="1.0" encoding="utf-8"?>
<ds:datastoreItem xmlns:ds="http://schemas.openxmlformats.org/officeDocument/2006/customXml" ds:itemID="{C60EEF25-5851-48DB-81AB-425C255DC49E}"/>
</file>

<file path=customXml/itemProps4.xml><?xml version="1.0" encoding="utf-8"?>
<ds:datastoreItem xmlns:ds="http://schemas.openxmlformats.org/officeDocument/2006/customXml" ds:itemID="{174D4B1B-EFBA-4AA2-B83B-5FD2390B55A5}"/>
</file>

<file path=customXml/itemProps5.xml><?xml version="1.0" encoding="utf-8"?>
<ds:datastoreItem xmlns:ds="http://schemas.openxmlformats.org/officeDocument/2006/customXml" ds:itemID="{71475D17-2ACA-4D77-972D-4BCA9621269C}"/>
</file>

<file path=customXml/itemProps6.xml><?xml version="1.0" encoding="utf-8"?>
<ds:datastoreItem xmlns:ds="http://schemas.openxmlformats.org/officeDocument/2006/customXml" ds:itemID="{E64F980B-9812-4C64-B611-7E025BD3E427}"/>
</file>

<file path=docProps/app.xml><?xml version="1.0" encoding="utf-8"?>
<Properties xmlns="http://schemas.openxmlformats.org/officeDocument/2006/extended-properties" xmlns:vt="http://schemas.openxmlformats.org/officeDocument/2006/docPropsVTypes">
  <Template>Normal</Template>
  <TotalTime>288</TotalTime>
  <Pages>100</Pages>
  <Words>31494</Words>
  <Characters>179522</Characters>
  <Application>Microsoft Office Word</Application>
  <DocSecurity>0</DocSecurity>
  <Lines>1496</Lines>
  <Paragraphs>421</Paragraphs>
  <ScaleCrop>false</ScaleCrop>
  <Company>IBM</Company>
  <LinksUpToDate>false</LinksUpToDate>
  <CharactersWithSpaces>210595</CharactersWithSpaces>
  <SharedDoc>false</SharedDoc>
  <HLinks>
    <vt:vector size="444" baseType="variant">
      <vt:variant>
        <vt:i4>1703986</vt:i4>
      </vt:variant>
      <vt:variant>
        <vt:i4>368</vt:i4>
      </vt:variant>
      <vt:variant>
        <vt:i4>0</vt:i4>
      </vt:variant>
      <vt:variant>
        <vt:i4>5</vt:i4>
      </vt:variant>
      <vt:variant>
        <vt:lpwstr/>
      </vt:variant>
      <vt:variant>
        <vt:lpwstr>_Toc212367481</vt:lpwstr>
      </vt:variant>
      <vt:variant>
        <vt:i4>1703986</vt:i4>
      </vt:variant>
      <vt:variant>
        <vt:i4>362</vt:i4>
      </vt:variant>
      <vt:variant>
        <vt:i4>0</vt:i4>
      </vt:variant>
      <vt:variant>
        <vt:i4>5</vt:i4>
      </vt:variant>
      <vt:variant>
        <vt:lpwstr/>
      </vt:variant>
      <vt:variant>
        <vt:lpwstr>_Toc212367480</vt:lpwstr>
      </vt:variant>
      <vt:variant>
        <vt:i4>1376306</vt:i4>
      </vt:variant>
      <vt:variant>
        <vt:i4>353</vt:i4>
      </vt:variant>
      <vt:variant>
        <vt:i4>0</vt:i4>
      </vt:variant>
      <vt:variant>
        <vt:i4>5</vt:i4>
      </vt:variant>
      <vt:variant>
        <vt:lpwstr/>
      </vt:variant>
      <vt:variant>
        <vt:lpwstr>_Toc212367474</vt:lpwstr>
      </vt:variant>
      <vt:variant>
        <vt:i4>1376306</vt:i4>
      </vt:variant>
      <vt:variant>
        <vt:i4>347</vt:i4>
      </vt:variant>
      <vt:variant>
        <vt:i4>0</vt:i4>
      </vt:variant>
      <vt:variant>
        <vt:i4>5</vt:i4>
      </vt:variant>
      <vt:variant>
        <vt:lpwstr/>
      </vt:variant>
      <vt:variant>
        <vt:lpwstr>_Toc212367473</vt:lpwstr>
      </vt:variant>
      <vt:variant>
        <vt:i4>1376306</vt:i4>
      </vt:variant>
      <vt:variant>
        <vt:i4>341</vt:i4>
      </vt:variant>
      <vt:variant>
        <vt:i4>0</vt:i4>
      </vt:variant>
      <vt:variant>
        <vt:i4>5</vt:i4>
      </vt:variant>
      <vt:variant>
        <vt:lpwstr/>
      </vt:variant>
      <vt:variant>
        <vt:lpwstr>_Toc212367472</vt:lpwstr>
      </vt:variant>
      <vt:variant>
        <vt:i4>1376306</vt:i4>
      </vt:variant>
      <vt:variant>
        <vt:i4>335</vt:i4>
      </vt:variant>
      <vt:variant>
        <vt:i4>0</vt:i4>
      </vt:variant>
      <vt:variant>
        <vt:i4>5</vt:i4>
      </vt:variant>
      <vt:variant>
        <vt:lpwstr/>
      </vt:variant>
      <vt:variant>
        <vt:lpwstr>_Toc212367471</vt:lpwstr>
      </vt:variant>
      <vt:variant>
        <vt:i4>1376306</vt:i4>
      </vt:variant>
      <vt:variant>
        <vt:i4>329</vt:i4>
      </vt:variant>
      <vt:variant>
        <vt:i4>0</vt:i4>
      </vt:variant>
      <vt:variant>
        <vt:i4>5</vt:i4>
      </vt:variant>
      <vt:variant>
        <vt:lpwstr/>
      </vt:variant>
      <vt:variant>
        <vt:lpwstr>_Toc212367470</vt:lpwstr>
      </vt:variant>
      <vt:variant>
        <vt:i4>1310770</vt:i4>
      </vt:variant>
      <vt:variant>
        <vt:i4>323</vt:i4>
      </vt:variant>
      <vt:variant>
        <vt:i4>0</vt:i4>
      </vt:variant>
      <vt:variant>
        <vt:i4>5</vt:i4>
      </vt:variant>
      <vt:variant>
        <vt:lpwstr/>
      </vt:variant>
      <vt:variant>
        <vt:lpwstr>_Toc212367469</vt:lpwstr>
      </vt:variant>
      <vt:variant>
        <vt:i4>1310770</vt:i4>
      </vt:variant>
      <vt:variant>
        <vt:i4>317</vt:i4>
      </vt:variant>
      <vt:variant>
        <vt:i4>0</vt:i4>
      </vt:variant>
      <vt:variant>
        <vt:i4>5</vt:i4>
      </vt:variant>
      <vt:variant>
        <vt:lpwstr/>
      </vt:variant>
      <vt:variant>
        <vt:lpwstr>_Toc212367468</vt:lpwstr>
      </vt:variant>
      <vt:variant>
        <vt:i4>1310770</vt:i4>
      </vt:variant>
      <vt:variant>
        <vt:i4>311</vt:i4>
      </vt:variant>
      <vt:variant>
        <vt:i4>0</vt:i4>
      </vt:variant>
      <vt:variant>
        <vt:i4>5</vt:i4>
      </vt:variant>
      <vt:variant>
        <vt:lpwstr/>
      </vt:variant>
      <vt:variant>
        <vt:lpwstr>_Toc212367467</vt:lpwstr>
      </vt:variant>
      <vt:variant>
        <vt:i4>1310770</vt:i4>
      </vt:variant>
      <vt:variant>
        <vt:i4>305</vt:i4>
      </vt:variant>
      <vt:variant>
        <vt:i4>0</vt:i4>
      </vt:variant>
      <vt:variant>
        <vt:i4>5</vt:i4>
      </vt:variant>
      <vt:variant>
        <vt:lpwstr/>
      </vt:variant>
      <vt:variant>
        <vt:lpwstr>_Toc212367466</vt:lpwstr>
      </vt:variant>
      <vt:variant>
        <vt:i4>1310770</vt:i4>
      </vt:variant>
      <vt:variant>
        <vt:i4>299</vt:i4>
      </vt:variant>
      <vt:variant>
        <vt:i4>0</vt:i4>
      </vt:variant>
      <vt:variant>
        <vt:i4>5</vt:i4>
      </vt:variant>
      <vt:variant>
        <vt:lpwstr/>
      </vt:variant>
      <vt:variant>
        <vt:lpwstr>_Toc212367465</vt:lpwstr>
      </vt:variant>
      <vt:variant>
        <vt:i4>1310770</vt:i4>
      </vt:variant>
      <vt:variant>
        <vt:i4>293</vt:i4>
      </vt:variant>
      <vt:variant>
        <vt:i4>0</vt:i4>
      </vt:variant>
      <vt:variant>
        <vt:i4>5</vt:i4>
      </vt:variant>
      <vt:variant>
        <vt:lpwstr/>
      </vt:variant>
      <vt:variant>
        <vt:lpwstr>_Toc212367464</vt:lpwstr>
      </vt:variant>
      <vt:variant>
        <vt:i4>1310770</vt:i4>
      </vt:variant>
      <vt:variant>
        <vt:i4>287</vt:i4>
      </vt:variant>
      <vt:variant>
        <vt:i4>0</vt:i4>
      </vt:variant>
      <vt:variant>
        <vt:i4>5</vt:i4>
      </vt:variant>
      <vt:variant>
        <vt:lpwstr/>
      </vt:variant>
      <vt:variant>
        <vt:lpwstr>_Toc212367463</vt:lpwstr>
      </vt:variant>
      <vt:variant>
        <vt:i4>1245239</vt:i4>
      </vt:variant>
      <vt:variant>
        <vt:i4>278</vt:i4>
      </vt:variant>
      <vt:variant>
        <vt:i4>0</vt:i4>
      </vt:variant>
      <vt:variant>
        <vt:i4>5</vt:i4>
      </vt:variant>
      <vt:variant>
        <vt:lpwstr/>
      </vt:variant>
      <vt:variant>
        <vt:lpwstr>_Toc212409784</vt:lpwstr>
      </vt:variant>
      <vt:variant>
        <vt:i4>1245239</vt:i4>
      </vt:variant>
      <vt:variant>
        <vt:i4>272</vt:i4>
      </vt:variant>
      <vt:variant>
        <vt:i4>0</vt:i4>
      </vt:variant>
      <vt:variant>
        <vt:i4>5</vt:i4>
      </vt:variant>
      <vt:variant>
        <vt:lpwstr/>
      </vt:variant>
      <vt:variant>
        <vt:lpwstr>_Toc212409783</vt:lpwstr>
      </vt:variant>
      <vt:variant>
        <vt:i4>1769525</vt:i4>
      </vt:variant>
      <vt:variant>
        <vt:i4>263</vt:i4>
      </vt:variant>
      <vt:variant>
        <vt:i4>0</vt:i4>
      </vt:variant>
      <vt:variant>
        <vt:i4>5</vt:i4>
      </vt:variant>
      <vt:variant>
        <vt:lpwstr/>
      </vt:variant>
      <vt:variant>
        <vt:lpwstr>_Toc212409505</vt:lpwstr>
      </vt:variant>
      <vt:variant>
        <vt:i4>1769525</vt:i4>
      </vt:variant>
      <vt:variant>
        <vt:i4>257</vt:i4>
      </vt:variant>
      <vt:variant>
        <vt:i4>0</vt:i4>
      </vt:variant>
      <vt:variant>
        <vt:i4>5</vt:i4>
      </vt:variant>
      <vt:variant>
        <vt:lpwstr/>
      </vt:variant>
      <vt:variant>
        <vt:lpwstr>_Toc212409504</vt:lpwstr>
      </vt:variant>
      <vt:variant>
        <vt:i4>1441844</vt:i4>
      </vt:variant>
      <vt:variant>
        <vt:i4>247</vt:i4>
      </vt:variant>
      <vt:variant>
        <vt:i4>0</vt:i4>
      </vt:variant>
      <vt:variant>
        <vt:i4>5</vt:i4>
      </vt:variant>
      <vt:variant>
        <vt:lpwstr/>
      </vt:variant>
      <vt:variant>
        <vt:lpwstr>_Toc212202401</vt:lpwstr>
      </vt:variant>
      <vt:variant>
        <vt:i4>1441844</vt:i4>
      </vt:variant>
      <vt:variant>
        <vt:i4>241</vt:i4>
      </vt:variant>
      <vt:variant>
        <vt:i4>0</vt:i4>
      </vt:variant>
      <vt:variant>
        <vt:i4>5</vt:i4>
      </vt:variant>
      <vt:variant>
        <vt:lpwstr/>
      </vt:variant>
      <vt:variant>
        <vt:lpwstr>_Toc212202400</vt:lpwstr>
      </vt:variant>
      <vt:variant>
        <vt:i4>2031667</vt:i4>
      </vt:variant>
      <vt:variant>
        <vt:i4>235</vt:i4>
      </vt:variant>
      <vt:variant>
        <vt:i4>0</vt:i4>
      </vt:variant>
      <vt:variant>
        <vt:i4>5</vt:i4>
      </vt:variant>
      <vt:variant>
        <vt:lpwstr/>
      </vt:variant>
      <vt:variant>
        <vt:lpwstr>_Toc212202399</vt:lpwstr>
      </vt:variant>
      <vt:variant>
        <vt:i4>2031667</vt:i4>
      </vt:variant>
      <vt:variant>
        <vt:i4>229</vt:i4>
      </vt:variant>
      <vt:variant>
        <vt:i4>0</vt:i4>
      </vt:variant>
      <vt:variant>
        <vt:i4>5</vt:i4>
      </vt:variant>
      <vt:variant>
        <vt:lpwstr/>
      </vt:variant>
      <vt:variant>
        <vt:lpwstr>_Toc212202398</vt:lpwstr>
      </vt:variant>
      <vt:variant>
        <vt:i4>2031667</vt:i4>
      </vt:variant>
      <vt:variant>
        <vt:i4>223</vt:i4>
      </vt:variant>
      <vt:variant>
        <vt:i4>0</vt:i4>
      </vt:variant>
      <vt:variant>
        <vt:i4>5</vt:i4>
      </vt:variant>
      <vt:variant>
        <vt:lpwstr/>
      </vt:variant>
      <vt:variant>
        <vt:lpwstr>_Toc212202397</vt:lpwstr>
      </vt:variant>
      <vt:variant>
        <vt:i4>2031667</vt:i4>
      </vt:variant>
      <vt:variant>
        <vt:i4>217</vt:i4>
      </vt:variant>
      <vt:variant>
        <vt:i4>0</vt:i4>
      </vt:variant>
      <vt:variant>
        <vt:i4>5</vt:i4>
      </vt:variant>
      <vt:variant>
        <vt:lpwstr/>
      </vt:variant>
      <vt:variant>
        <vt:lpwstr>_Toc212202396</vt:lpwstr>
      </vt:variant>
      <vt:variant>
        <vt:i4>2031667</vt:i4>
      </vt:variant>
      <vt:variant>
        <vt:i4>211</vt:i4>
      </vt:variant>
      <vt:variant>
        <vt:i4>0</vt:i4>
      </vt:variant>
      <vt:variant>
        <vt:i4>5</vt:i4>
      </vt:variant>
      <vt:variant>
        <vt:lpwstr/>
      </vt:variant>
      <vt:variant>
        <vt:lpwstr>_Toc212202395</vt:lpwstr>
      </vt:variant>
      <vt:variant>
        <vt:i4>1114160</vt:i4>
      </vt:variant>
      <vt:variant>
        <vt:i4>200</vt:i4>
      </vt:variant>
      <vt:variant>
        <vt:i4>0</vt:i4>
      </vt:variant>
      <vt:variant>
        <vt:i4>5</vt:i4>
      </vt:variant>
      <vt:variant>
        <vt:lpwstr/>
      </vt:variant>
      <vt:variant>
        <vt:lpwstr>_Toc212202074</vt:lpwstr>
      </vt:variant>
      <vt:variant>
        <vt:i4>1114160</vt:i4>
      </vt:variant>
      <vt:variant>
        <vt:i4>194</vt:i4>
      </vt:variant>
      <vt:variant>
        <vt:i4>0</vt:i4>
      </vt:variant>
      <vt:variant>
        <vt:i4>5</vt:i4>
      </vt:variant>
      <vt:variant>
        <vt:lpwstr/>
      </vt:variant>
      <vt:variant>
        <vt:lpwstr>_Toc212202073</vt:lpwstr>
      </vt:variant>
      <vt:variant>
        <vt:i4>1114160</vt:i4>
      </vt:variant>
      <vt:variant>
        <vt:i4>188</vt:i4>
      </vt:variant>
      <vt:variant>
        <vt:i4>0</vt:i4>
      </vt:variant>
      <vt:variant>
        <vt:i4>5</vt:i4>
      </vt:variant>
      <vt:variant>
        <vt:lpwstr/>
      </vt:variant>
      <vt:variant>
        <vt:lpwstr>_Toc212202072</vt:lpwstr>
      </vt:variant>
      <vt:variant>
        <vt:i4>1114160</vt:i4>
      </vt:variant>
      <vt:variant>
        <vt:i4>182</vt:i4>
      </vt:variant>
      <vt:variant>
        <vt:i4>0</vt:i4>
      </vt:variant>
      <vt:variant>
        <vt:i4>5</vt:i4>
      </vt:variant>
      <vt:variant>
        <vt:lpwstr/>
      </vt:variant>
      <vt:variant>
        <vt:lpwstr>_Toc212202071</vt:lpwstr>
      </vt:variant>
      <vt:variant>
        <vt:i4>1114160</vt:i4>
      </vt:variant>
      <vt:variant>
        <vt:i4>176</vt:i4>
      </vt:variant>
      <vt:variant>
        <vt:i4>0</vt:i4>
      </vt:variant>
      <vt:variant>
        <vt:i4>5</vt:i4>
      </vt:variant>
      <vt:variant>
        <vt:lpwstr/>
      </vt:variant>
      <vt:variant>
        <vt:lpwstr>_Toc212202070</vt:lpwstr>
      </vt:variant>
      <vt:variant>
        <vt:i4>1048624</vt:i4>
      </vt:variant>
      <vt:variant>
        <vt:i4>170</vt:i4>
      </vt:variant>
      <vt:variant>
        <vt:i4>0</vt:i4>
      </vt:variant>
      <vt:variant>
        <vt:i4>5</vt:i4>
      </vt:variant>
      <vt:variant>
        <vt:lpwstr/>
      </vt:variant>
      <vt:variant>
        <vt:lpwstr>_Toc212202069</vt:lpwstr>
      </vt:variant>
      <vt:variant>
        <vt:i4>1048624</vt:i4>
      </vt:variant>
      <vt:variant>
        <vt:i4>164</vt:i4>
      </vt:variant>
      <vt:variant>
        <vt:i4>0</vt:i4>
      </vt:variant>
      <vt:variant>
        <vt:i4>5</vt:i4>
      </vt:variant>
      <vt:variant>
        <vt:lpwstr/>
      </vt:variant>
      <vt:variant>
        <vt:lpwstr>_Toc212202068</vt:lpwstr>
      </vt:variant>
      <vt:variant>
        <vt:i4>1441841</vt:i4>
      </vt:variant>
      <vt:variant>
        <vt:i4>155</vt:i4>
      </vt:variant>
      <vt:variant>
        <vt:i4>0</vt:i4>
      </vt:variant>
      <vt:variant>
        <vt:i4>5</vt:i4>
      </vt:variant>
      <vt:variant>
        <vt:lpwstr/>
      </vt:variant>
      <vt:variant>
        <vt:lpwstr>_Toc212200128</vt:lpwstr>
      </vt:variant>
      <vt:variant>
        <vt:i4>1441841</vt:i4>
      </vt:variant>
      <vt:variant>
        <vt:i4>149</vt:i4>
      </vt:variant>
      <vt:variant>
        <vt:i4>0</vt:i4>
      </vt:variant>
      <vt:variant>
        <vt:i4>5</vt:i4>
      </vt:variant>
      <vt:variant>
        <vt:lpwstr/>
      </vt:variant>
      <vt:variant>
        <vt:lpwstr>_Toc212200127</vt:lpwstr>
      </vt:variant>
      <vt:variant>
        <vt:i4>1441841</vt:i4>
      </vt:variant>
      <vt:variant>
        <vt:i4>143</vt:i4>
      </vt:variant>
      <vt:variant>
        <vt:i4>0</vt:i4>
      </vt:variant>
      <vt:variant>
        <vt:i4>5</vt:i4>
      </vt:variant>
      <vt:variant>
        <vt:lpwstr/>
      </vt:variant>
      <vt:variant>
        <vt:lpwstr>_Toc212200126</vt:lpwstr>
      </vt:variant>
      <vt:variant>
        <vt:i4>1441841</vt:i4>
      </vt:variant>
      <vt:variant>
        <vt:i4>134</vt:i4>
      </vt:variant>
      <vt:variant>
        <vt:i4>0</vt:i4>
      </vt:variant>
      <vt:variant>
        <vt:i4>5</vt:i4>
      </vt:variant>
      <vt:variant>
        <vt:lpwstr/>
      </vt:variant>
      <vt:variant>
        <vt:lpwstr>_Toc212200120</vt:lpwstr>
      </vt:variant>
      <vt:variant>
        <vt:i4>1376305</vt:i4>
      </vt:variant>
      <vt:variant>
        <vt:i4>128</vt:i4>
      </vt:variant>
      <vt:variant>
        <vt:i4>0</vt:i4>
      </vt:variant>
      <vt:variant>
        <vt:i4>5</vt:i4>
      </vt:variant>
      <vt:variant>
        <vt:lpwstr/>
      </vt:variant>
      <vt:variant>
        <vt:lpwstr>_Toc212200119</vt:lpwstr>
      </vt:variant>
      <vt:variant>
        <vt:i4>1376305</vt:i4>
      </vt:variant>
      <vt:variant>
        <vt:i4>122</vt:i4>
      </vt:variant>
      <vt:variant>
        <vt:i4>0</vt:i4>
      </vt:variant>
      <vt:variant>
        <vt:i4>5</vt:i4>
      </vt:variant>
      <vt:variant>
        <vt:lpwstr/>
      </vt:variant>
      <vt:variant>
        <vt:lpwstr>_Toc212200118</vt:lpwstr>
      </vt:variant>
      <vt:variant>
        <vt:i4>1245238</vt:i4>
      </vt:variant>
      <vt:variant>
        <vt:i4>113</vt:i4>
      </vt:variant>
      <vt:variant>
        <vt:i4>0</vt:i4>
      </vt:variant>
      <vt:variant>
        <vt:i4>5</vt:i4>
      </vt:variant>
      <vt:variant>
        <vt:lpwstr/>
      </vt:variant>
      <vt:variant>
        <vt:lpwstr>_Toc212408698</vt:lpwstr>
      </vt:variant>
      <vt:variant>
        <vt:i4>1245238</vt:i4>
      </vt:variant>
      <vt:variant>
        <vt:i4>107</vt:i4>
      </vt:variant>
      <vt:variant>
        <vt:i4>0</vt:i4>
      </vt:variant>
      <vt:variant>
        <vt:i4>5</vt:i4>
      </vt:variant>
      <vt:variant>
        <vt:lpwstr/>
      </vt:variant>
      <vt:variant>
        <vt:lpwstr>_Toc212408697</vt:lpwstr>
      </vt:variant>
      <vt:variant>
        <vt:i4>1245238</vt:i4>
      </vt:variant>
      <vt:variant>
        <vt:i4>101</vt:i4>
      </vt:variant>
      <vt:variant>
        <vt:i4>0</vt:i4>
      </vt:variant>
      <vt:variant>
        <vt:i4>5</vt:i4>
      </vt:variant>
      <vt:variant>
        <vt:lpwstr/>
      </vt:variant>
      <vt:variant>
        <vt:lpwstr>_Toc212408696</vt:lpwstr>
      </vt:variant>
      <vt:variant>
        <vt:i4>1245238</vt:i4>
      </vt:variant>
      <vt:variant>
        <vt:i4>92</vt:i4>
      </vt:variant>
      <vt:variant>
        <vt:i4>0</vt:i4>
      </vt:variant>
      <vt:variant>
        <vt:i4>5</vt:i4>
      </vt:variant>
      <vt:variant>
        <vt:lpwstr/>
      </vt:variant>
      <vt:variant>
        <vt:lpwstr>_Toc212408693</vt:lpwstr>
      </vt:variant>
      <vt:variant>
        <vt:i4>1179702</vt:i4>
      </vt:variant>
      <vt:variant>
        <vt:i4>83</vt:i4>
      </vt:variant>
      <vt:variant>
        <vt:i4>0</vt:i4>
      </vt:variant>
      <vt:variant>
        <vt:i4>5</vt:i4>
      </vt:variant>
      <vt:variant>
        <vt:lpwstr/>
      </vt:variant>
      <vt:variant>
        <vt:lpwstr>_Toc212408688</vt:lpwstr>
      </vt:variant>
      <vt:variant>
        <vt:i4>1507377</vt:i4>
      </vt:variant>
      <vt:variant>
        <vt:i4>74</vt:i4>
      </vt:variant>
      <vt:variant>
        <vt:i4>0</vt:i4>
      </vt:variant>
      <vt:variant>
        <vt:i4>5</vt:i4>
      </vt:variant>
      <vt:variant>
        <vt:lpwstr/>
      </vt:variant>
      <vt:variant>
        <vt:lpwstr>_Toc211656716</vt:lpwstr>
      </vt:variant>
      <vt:variant>
        <vt:i4>1507377</vt:i4>
      </vt:variant>
      <vt:variant>
        <vt:i4>68</vt:i4>
      </vt:variant>
      <vt:variant>
        <vt:i4>0</vt:i4>
      </vt:variant>
      <vt:variant>
        <vt:i4>5</vt:i4>
      </vt:variant>
      <vt:variant>
        <vt:lpwstr/>
      </vt:variant>
      <vt:variant>
        <vt:lpwstr>_Toc211656715</vt:lpwstr>
      </vt:variant>
      <vt:variant>
        <vt:i4>1507377</vt:i4>
      </vt:variant>
      <vt:variant>
        <vt:i4>62</vt:i4>
      </vt:variant>
      <vt:variant>
        <vt:i4>0</vt:i4>
      </vt:variant>
      <vt:variant>
        <vt:i4>5</vt:i4>
      </vt:variant>
      <vt:variant>
        <vt:lpwstr/>
      </vt:variant>
      <vt:variant>
        <vt:lpwstr>_Toc211656714</vt:lpwstr>
      </vt:variant>
      <vt:variant>
        <vt:i4>1507377</vt:i4>
      </vt:variant>
      <vt:variant>
        <vt:i4>56</vt:i4>
      </vt:variant>
      <vt:variant>
        <vt:i4>0</vt:i4>
      </vt:variant>
      <vt:variant>
        <vt:i4>5</vt:i4>
      </vt:variant>
      <vt:variant>
        <vt:lpwstr/>
      </vt:variant>
      <vt:variant>
        <vt:lpwstr>_Toc211656713</vt:lpwstr>
      </vt:variant>
      <vt:variant>
        <vt:i4>1507377</vt:i4>
      </vt:variant>
      <vt:variant>
        <vt:i4>50</vt:i4>
      </vt:variant>
      <vt:variant>
        <vt:i4>0</vt:i4>
      </vt:variant>
      <vt:variant>
        <vt:i4>5</vt:i4>
      </vt:variant>
      <vt:variant>
        <vt:lpwstr/>
      </vt:variant>
      <vt:variant>
        <vt:lpwstr>_Toc211656712</vt:lpwstr>
      </vt:variant>
      <vt:variant>
        <vt:i4>1507377</vt:i4>
      </vt:variant>
      <vt:variant>
        <vt:i4>44</vt:i4>
      </vt:variant>
      <vt:variant>
        <vt:i4>0</vt:i4>
      </vt:variant>
      <vt:variant>
        <vt:i4>5</vt:i4>
      </vt:variant>
      <vt:variant>
        <vt:lpwstr/>
      </vt:variant>
      <vt:variant>
        <vt:lpwstr>_Toc211656711</vt:lpwstr>
      </vt:variant>
      <vt:variant>
        <vt:i4>1507377</vt:i4>
      </vt:variant>
      <vt:variant>
        <vt:i4>38</vt:i4>
      </vt:variant>
      <vt:variant>
        <vt:i4>0</vt:i4>
      </vt:variant>
      <vt:variant>
        <vt:i4>5</vt:i4>
      </vt:variant>
      <vt:variant>
        <vt:lpwstr/>
      </vt:variant>
      <vt:variant>
        <vt:lpwstr>_Toc211656710</vt:lpwstr>
      </vt:variant>
      <vt:variant>
        <vt:i4>1441841</vt:i4>
      </vt:variant>
      <vt:variant>
        <vt:i4>32</vt:i4>
      </vt:variant>
      <vt:variant>
        <vt:i4>0</vt:i4>
      </vt:variant>
      <vt:variant>
        <vt:i4>5</vt:i4>
      </vt:variant>
      <vt:variant>
        <vt:lpwstr/>
      </vt:variant>
      <vt:variant>
        <vt:lpwstr>_Toc211656709</vt:lpwstr>
      </vt:variant>
      <vt:variant>
        <vt:i4>1441841</vt:i4>
      </vt:variant>
      <vt:variant>
        <vt:i4>26</vt:i4>
      </vt:variant>
      <vt:variant>
        <vt:i4>0</vt:i4>
      </vt:variant>
      <vt:variant>
        <vt:i4>5</vt:i4>
      </vt:variant>
      <vt:variant>
        <vt:lpwstr/>
      </vt:variant>
      <vt:variant>
        <vt:lpwstr>_Toc211656708</vt:lpwstr>
      </vt:variant>
      <vt:variant>
        <vt:i4>1441841</vt:i4>
      </vt:variant>
      <vt:variant>
        <vt:i4>20</vt:i4>
      </vt:variant>
      <vt:variant>
        <vt:i4>0</vt:i4>
      </vt:variant>
      <vt:variant>
        <vt:i4>5</vt:i4>
      </vt:variant>
      <vt:variant>
        <vt:lpwstr/>
      </vt:variant>
      <vt:variant>
        <vt:lpwstr>_Toc211656707</vt:lpwstr>
      </vt:variant>
      <vt:variant>
        <vt:i4>1441841</vt:i4>
      </vt:variant>
      <vt:variant>
        <vt:i4>14</vt:i4>
      </vt:variant>
      <vt:variant>
        <vt:i4>0</vt:i4>
      </vt:variant>
      <vt:variant>
        <vt:i4>5</vt:i4>
      </vt:variant>
      <vt:variant>
        <vt:lpwstr/>
      </vt:variant>
      <vt:variant>
        <vt:lpwstr>_Toc211656706</vt:lpwstr>
      </vt:variant>
      <vt:variant>
        <vt:i4>1441841</vt:i4>
      </vt:variant>
      <vt:variant>
        <vt:i4>8</vt:i4>
      </vt:variant>
      <vt:variant>
        <vt:i4>0</vt:i4>
      </vt:variant>
      <vt:variant>
        <vt:i4>5</vt:i4>
      </vt:variant>
      <vt:variant>
        <vt:lpwstr/>
      </vt:variant>
      <vt:variant>
        <vt:lpwstr>_Toc211656705</vt:lpwstr>
      </vt:variant>
      <vt:variant>
        <vt:i4>1441841</vt:i4>
      </vt:variant>
      <vt:variant>
        <vt:i4>2</vt:i4>
      </vt:variant>
      <vt:variant>
        <vt:i4>0</vt:i4>
      </vt:variant>
      <vt:variant>
        <vt:i4>5</vt:i4>
      </vt:variant>
      <vt:variant>
        <vt:lpwstr/>
      </vt:variant>
      <vt:variant>
        <vt:lpwstr>_Toc211656704</vt:lpwstr>
      </vt:variant>
      <vt:variant>
        <vt:i4>5046325</vt:i4>
      </vt:variant>
      <vt:variant>
        <vt:i4>51</vt:i4>
      </vt:variant>
      <vt:variant>
        <vt:i4>0</vt:i4>
      </vt:variant>
      <vt:variant>
        <vt:i4>5</vt:i4>
      </vt:variant>
      <vt:variant>
        <vt:lpwstr>mailto:Patricia-Lee@ibm.com</vt:lpwstr>
      </vt:variant>
      <vt:variant>
        <vt:lpwstr/>
      </vt:variant>
      <vt:variant>
        <vt:i4>5046325</vt:i4>
      </vt:variant>
      <vt:variant>
        <vt:i4>48</vt:i4>
      </vt:variant>
      <vt:variant>
        <vt:i4>0</vt:i4>
      </vt:variant>
      <vt:variant>
        <vt:i4>5</vt:i4>
      </vt:variant>
      <vt:variant>
        <vt:lpwstr>mailto:Patricia-Lee@ibm.com</vt:lpwstr>
      </vt:variant>
      <vt:variant>
        <vt:lpwstr/>
      </vt:variant>
      <vt:variant>
        <vt:i4>5046325</vt:i4>
      </vt:variant>
      <vt:variant>
        <vt:i4>45</vt:i4>
      </vt:variant>
      <vt:variant>
        <vt:i4>0</vt:i4>
      </vt:variant>
      <vt:variant>
        <vt:i4>5</vt:i4>
      </vt:variant>
      <vt:variant>
        <vt:lpwstr>mailto:Patricia-Lee@ibm.com</vt:lpwstr>
      </vt:variant>
      <vt:variant>
        <vt:lpwstr/>
      </vt:variant>
      <vt:variant>
        <vt:i4>5046325</vt:i4>
      </vt:variant>
      <vt:variant>
        <vt:i4>42</vt:i4>
      </vt:variant>
      <vt:variant>
        <vt:i4>0</vt:i4>
      </vt:variant>
      <vt:variant>
        <vt:i4>5</vt:i4>
      </vt:variant>
      <vt:variant>
        <vt:lpwstr>mailto:Patricia-Lee@ibm.com</vt:lpwstr>
      </vt:variant>
      <vt:variant>
        <vt:lpwstr/>
      </vt:variant>
      <vt:variant>
        <vt:i4>5046325</vt:i4>
      </vt:variant>
      <vt:variant>
        <vt:i4>39</vt:i4>
      </vt:variant>
      <vt:variant>
        <vt:i4>0</vt:i4>
      </vt:variant>
      <vt:variant>
        <vt:i4>5</vt:i4>
      </vt:variant>
      <vt:variant>
        <vt:lpwstr>mailto:Patricia-Lee@ibm.com</vt:lpwstr>
      </vt:variant>
      <vt:variant>
        <vt:lpwstr/>
      </vt:variant>
      <vt:variant>
        <vt:i4>5046325</vt:i4>
      </vt:variant>
      <vt:variant>
        <vt:i4>36</vt:i4>
      </vt:variant>
      <vt:variant>
        <vt:i4>0</vt:i4>
      </vt:variant>
      <vt:variant>
        <vt:i4>5</vt:i4>
      </vt:variant>
      <vt:variant>
        <vt:lpwstr>mailto:Patricia-Lee@ibm.com</vt:lpwstr>
      </vt:variant>
      <vt:variant>
        <vt:lpwstr/>
      </vt:variant>
      <vt:variant>
        <vt:i4>5046325</vt:i4>
      </vt:variant>
      <vt:variant>
        <vt:i4>33</vt:i4>
      </vt:variant>
      <vt:variant>
        <vt:i4>0</vt:i4>
      </vt:variant>
      <vt:variant>
        <vt:i4>5</vt:i4>
      </vt:variant>
      <vt:variant>
        <vt:lpwstr>mailto:Patricia-Lee@ibm.com</vt:lpwstr>
      </vt:variant>
      <vt:variant>
        <vt:lpwstr/>
      </vt:variant>
      <vt:variant>
        <vt:i4>5046325</vt:i4>
      </vt:variant>
      <vt:variant>
        <vt:i4>30</vt:i4>
      </vt:variant>
      <vt:variant>
        <vt:i4>0</vt:i4>
      </vt:variant>
      <vt:variant>
        <vt:i4>5</vt:i4>
      </vt:variant>
      <vt:variant>
        <vt:lpwstr>mailto:Patricia-Lee@ibm.com</vt:lpwstr>
      </vt:variant>
      <vt:variant>
        <vt:lpwstr/>
      </vt:variant>
      <vt:variant>
        <vt:i4>5046325</vt:i4>
      </vt:variant>
      <vt:variant>
        <vt:i4>27</vt:i4>
      </vt:variant>
      <vt:variant>
        <vt:i4>0</vt:i4>
      </vt:variant>
      <vt:variant>
        <vt:i4>5</vt:i4>
      </vt:variant>
      <vt:variant>
        <vt:lpwstr>mailto:Patricia-Lee@ibm.com</vt:lpwstr>
      </vt:variant>
      <vt:variant>
        <vt:lpwstr/>
      </vt:variant>
      <vt:variant>
        <vt:i4>5046325</vt:i4>
      </vt:variant>
      <vt:variant>
        <vt:i4>24</vt:i4>
      </vt:variant>
      <vt:variant>
        <vt:i4>0</vt:i4>
      </vt:variant>
      <vt:variant>
        <vt:i4>5</vt:i4>
      </vt:variant>
      <vt:variant>
        <vt:lpwstr>mailto:Patricia-Lee@ibm.com</vt:lpwstr>
      </vt:variant>
      <vt:variant>
        <vt:lpwstr/>
      </vt:variant>
      <vt:variant>
        <vt:i4>5046325</vt:i4>
      </vt:variant>
      <vt:variant>
        <vt:i4>21</vt:i4>
      </vt:variant>
      <vt:variant>
        <vt:i4>0</vt:i4>
      </vt:variant>
      <vt:variant>
        <vt:i4>5</vt:i4>
      </vt:variant>
      <vt:variant>
        <vt:lpwstr>mailto:Patricia-Lee@ibm.com</vt:lpwstr>
      </vt:variant>
      <vt:variant>
        <vt:lpwstr/>
      </vt:variant>
      <vt:variant>
        <vt:i4>5046325</vt:i4>
      </vt:variant>
      <vt:variant>
        <vt:i4>18</vt:i4>
      </vt:variant>
      <vt:variant>
        <vt:i4>0</vt:i4>
      </vt:variant>
      <vt:variant>
        <vt:i4>5</vt:i4>
      </vt:variant>
      <vt:variant>
        <vt:lpwstr>mailto:Patricia-Lee@ibm.com</vt:lpwstr>
      </vt:variant>
      <vt:variant>
        <vt:lpwstr/>
      </vt:variant>
      <vt:variant>
        <vt:i4>5046325</vt:i4>
      </vt:variant>
      <vt:variant>
        <vt:i4>15</vt:i4>
      </vt:variant>
      <vt:variant>
        <vt:i4>0</vt:i4>
      </vt:variant>
      <vt:variant>
        <vt:i4>5</vt:i4>
      </vt:variant>
      <vt:variant>
        <vt:lpwstr>mailto:Patricia-Lee@ibm.com</vt:lpwstr>
      </vt:variant>
      <vt:variant>
        <vt:lpwstr/>
      </vt:variant>
      <vt:variant>
        <vt:i4>5046325</vt:i4>
      </vt:variant>
      <vt:variant>
        <vt:i4>12</vt:i4>
      </vt:variant>
      <vt:variant>
        <vt:i4>0</vt:i4>
      </vt:variant>
      <vt:variant>
        <vt:i4>5</vt:i4>
      </vt:variant>
      <vt:variant>
        <vt:lpwstr>mailto:Patricia-Lee@ibm.com</vt:lpwstr>
      </vt:variant>
      <vt:variant>
        <vt:lpwstr/>
      </vt:variant>
      <vt:variant>
        <vt:i4>6160429</vt:i4>
      </vt:variant>
      <vt:variant>
        <vt:i4>9</vt:i4>
      </vt:variant>
      <vt:variant>
        <vt:i4>0</vt:i4>
      </vt:variant>
      <vt:variant>
        <vt:i4>5</vt:i4>
      </vt:variant>
      <vt:variant>
        <vt:lpwstr>mailto:Mike.Rockenstein@ibm.com</vt:lpwstr>
      </vt:variant>
      <vt:variant>
        <vt:lpwstr/>
      </vt:variant>
      <vt:variant>
        <vt:i4>5046325</vt:i4>
      </vt:variant>
      <vt:variant>
        <vt:i4>6</vt:i4>
      </vt:variant>
      <vt:variant>
        <vt:i4>0</vt:i4>
      </vt:variant>
      <vt:variant>
        <vt:i4>5</vt:i4>
      </vt:variant>
      <vt:variant>
        <vt:lpwstr>mailto:Patricia-Lee@ibm.com</vt:lpwstr>
      </vt:variant>
      <vt:variant>
        <vt:lpwstr/>
      </vt:variant>
      <vt:variant>
        <vt:i4>5046325</vt:i4>
      </vt:variant>
      <vt:variant>
        <vt:i4>3</vt:i4>
      </vt:variant>
      <vt:variant>
        <vt:i4>0</vt:i4>
      </vt:variant>
      <vt:variant>
        <vt:i4>5</vt:i4>
      </vt:variant>
      <vt:variant>
        <vt:lpwstr>mailto:Patricia-Lee@ibm.com</vt:lpwstr>
      </vt:variant>
      <vt:variant>
        <vt:lpwstr/>
      </vt:variant>
      <vt:variant>
        <vt:i4>5046325</vt:i4>
      </vt:variant>
      <vt:variant>
        <vt:i4>0</vt:i4>
      </vt:variant>
      <vt:variant>
        <vt:i4>0</vt:i4>
      </vt:variant>
      <vt:variant>
        <vt:i4>5</vt:i4>
      </vt:variant>
      <vt:variant>
        <vt:lpwstr>mailto:Patricia-Lee@ibm.com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Yems Estrella</dc:creator>
  <cp:keywords/>
  <cp:lastModifiedBy>Cheria Blomme</cp:lastModifiedBy>
  <cp:revision>1134</cp:revision>
  <cp:lastPrinted>2025-10-27T18:40:00Z</cp:lastPrinted>
  <dcterms:created xsi:type="dcterms:W3CDTF">2025-10-17T06:29:00Z</dcterms:created>
  <dcterms:modified xsi:type="dcterms:W3CDTF">2025-11-03T22:54:00Z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0x01010007F886295FD50240A51205FADCF73148</vt:lpwstr>
  </property>
  <property fmtid="{D5CDD505-2E9C-101B-9397-08002B2CF9AE}" pid="3" name="_dlc_DocIdItemGuid">
    <vt:lpwstr>8621a94d-f6fa-421c-9c24-55783e6cfe46</vt:lpwstr>
  </property>
</Properties>
</file>